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EF636" w14:textId="4C18412D" w:rsidR="004A5526" w:rsidRPr="00CC0B14" w:rsidRDefault="00D67308" w:rsidP="00BE571F">
      <w:pPr>
        <w:pStyle w:val="a7"/>
        <w:rPr>
          <w:rFonts w:eastAsiaTheme="minorHAnsi"/>
        </w:rPr>
      </w:pPr>
      <w:bookmarkStart w:id="0" w:name="_GoBack"/>
      <w:proofErr w:type="spellStart"/>
      <w:r w:rsidRPr="00CC0B14">
        <w:rPr>
          <w:rFonts w:eastAsiaTheme="minorHAnsi"/>
        </w:rPr>
        <w:t>RuFLEX</w:t>
      </w:r>
      <w:proofErr w:type="spellEnd"/>
      <w:r w:rsidRPr="00CC0B14">
        <w:rPr>
          <w:rFonts w:eastAsiaTheme="minorHAnsi"/>
        </w:rPr>
        <w:t xml:space="preserve">: гибридная платформа глубокого нечеткого интеллекта для геоданных с логической </w:t>
      </w:r>
      <w:proofErr w:type="spellStart"/>
      <w:r w:rsidRPr="00CC0B14">
        <w:rPr>
          <w:rFonts w:eastAsiaTheme="minorHAnsi"/>
        </w:rPr>
        <w:t>прослеживаемостью</w:t>
      </w:r>
      <w:proofErr w:type="spellEnd"/>
      <w:r w:rsidRPr="00CC0B14">
        <w:rPr>
          <w:rFonts w:eastAsiaTheme="minorHAnsi"/>
        </w:rPr>
        <w:t xml:space="preserve"> правил и </w:t>
      </w:r>
      <w:proofErr w:type="spellStart"/>
      <w:r w:rsidRPr="00CC0B14">
        <w:rPr>
          <w:rFonts w:eastAsiaTheme="minorHAnsi"/>
        </w:rPr>
        <w:t>контрфактуальной</w:t>
      </w:r>
      <w:proofErr w:type="spellEnd"/>
      <w:r w:rsidRPr="00CC0B14">
        <w:rPr>
          <w:rFonts w:eastAsiaTheme="minorHAnsi"/>
        </w:rPr>
        <w:t xml:space="preserve"> объяснимостью</w:t>
      </w:r>
    </w:p>
    <w:p w14:paraId="2A2B7BA4" w14:textId="1211AC79" w:rsidR="00C9083D" w:rsidRPr="00CC0B14" w:rsidRDefault="00C9083D" w:rsidP="00BE571F">
      <w:pPr>
        <w:pStyle w:val="af9"/>
      </w:pPr>
      <w:r w:rsidRPr="00CC0B14">
        <w:t>Ю. В. Трофимов</w:t>
      </w:r>
      <w:proofErr w:type="gramStart"/>
      <w:r w:rsidRPr="00CC0B14">
        <w:rPr>
          <w:vertAlign w:val="superscript"/>
        </w:rPr>
        <w:t>1</w:t>
      </w:r>
      <w:proofErr w:type="gramEnd"/>
      <w:r w:rsidRPr="00CC0B14">
        <w:rPr>
          <w:vertAlign w:val="superscript"/>
        </w:rPr>
        <w:t>,2</w:t>
      </w:r>
      <w:r w:rsidRPr="00CC0B14">
        <w:t>, А. Н. Аверкин</w:t>
      </w:r>
      <w:r w:rsidRPr="00CC0B14">
        <w:rPr>
          <w:vertAlign w:val="superscript"/>
        </w:rPr>
        <w:t>1</w:t>
      </w:r>
      <w:r w:rsidRPr="00CC0B14">
        <w:t>, М. Д. Лебедев</w:t>
      </w:r>
      <w:r w:rsidRPr="00CC0B14">
        <w:rPr>
          <w:vertAlign w:val="superscript"/>
        </w:rPr>
        <w:t>3</w:t>
      </w:r>
      <w:r w:rsidRPr="00CC0B14">
        <w:t>, А. Д. Лебедев</w:t>
      </w:r>
      <w:r w:rsidRPr="00CC0B14">
        <w:rPr>
          <w:vertAlign w:val="superscript"/>
        </w:rPr>
        <w:t>1</w:t>
      </w:r>
      <w:r w:rsidRPr="00CC0B14">
        <w:t>, А. С. Ильин</w:t>
      </w:r>
      <w:r w:rsidRPr="00CC0B14">
        <w:rPr>
          <w:vertAlign w:val="superscript"/>
        </w:rPr>
        <w:t>4</w:t>
      </w:r>
      <w:r w:rsidRPr="00CC0B14">
        <w:t>, А. К. Алексеев</w:t>
      </w:r>
      <w:r w:rsidRPr="00CC0B14">
        <w:rPr>
          <w:vertAlign w:val="superscript"/>
        </w:rPr>
        <w:t>1</w:t>
      </w:r>
    </w:p>
    <w:bookmarkEnd w:id="0"/>
    <w:p w14:paraId="61243110" w14:textId="77777777" w:rsidR="00C9083D" w:rsidRPr="00CC0B14" w:rsidRDefault="00C9083D" w:rsidP="00BE571F">
      <w:pPr>
        <w:pStyle w:val="afa"/>
      </w:pPr>
      <w:r w:rsidRPr="00BE571F">
        <w:rPr>
          <w:i w:val="0"/>
          <w:vertAlign w:val="superscript"/>
        </w:rPr>
        <w:t>1</w:t>
      </w:r>
      <w:r w:rsidRPr="00CC0B14">
        <w:t>Государственный университет «Дубна», Дубна, Россия</w:t>
      </w:r>
    </w:p>
    <w:p w14:paraId="6133020A" w14:textId="043AD5B1" w:rsidR="00C9083D" w:rsidRPr="00CC0B14" w:rsidRDefault="00C9083D" w:rsidP="00BE571F">
      <w:pPr>
        <w:pStyle w:val="afa"/>
      </w:pPr>
      <w:r w:rsidRPr="00BE571F">
        <w:rPr>
          <w:i w:val="0"/>
          <w:vertAlign w:val="superscript"/>
        </w:rPr>
        <w:t>2</w:t>
      </w:r>
      <w:r w:rsidRPr="00CC0B14">
        <w:t>Объединенный институт ядерных исследований, Дубна, Россия</w:t>
      </w:r>
    </w:p>
    <w:p w14:paraId="1FB3D916" w14:textId="77777777" w:rsidR="00C9083D" w:rsidRPr="00CC0B14" w:rsidRDefault="00C9083D" w:rsidP="00BE571F">
      <w:pPr>
        <w:pStyle w:val="afa"/>
      </w:pPr>
      <w:r w:rsidRPr="00BE571F">
        <w:rPr>
          <w:i w:val="0"/>
          <w:vertAlign w:val="superscript"/>
        </w:rPr>
        <w:t>3</w:t>
      </w:r>
      <w:r w:rsidRPr="00CC0B14">
        <w:t>НИТУ МИСИС, Москва, Россия</w:t>
      </w:r>
    </w:p>
    <w:p w14:paraId="3125CC0C" w14:textId="20A1323C" w:rsidR="00C9083D" w:rsidRDefault="00C9083D" w:rsidP="00BE571F">
      <w:pPr>
        <w:pStyle w:val="afa"/>
      </w:pPr>
      <w:r w:rsidRPr="00BE571F">
        <w:rPr>
          <w:i w:val="0"/>
          <w:vertAlign w:val="superscript"/>
        </w:rPr>
        <w:t>4</w:t>
      </w:r>
      <w:r w:rsidRPr="00CC0B14">
        <w:t>Университет Иннополис, Иннополис, Россия</w:t>
      </w:r>
    </w:p>
    <w:p w14:paraId="4B5CE89E" w14:textId="77777777" w:rsidR="00396B08" w:rsidRDefault="00396B08" w:rsidP="00BE571F">
      <w:pPr>
        <w:pStyle w:val="aff0"/>
        <w:framePr w:wrap="notBeside"/>
      </w:pPr>
      <w:r w:rsidRPr="00B66412">
        <w:t>Работа выполнена в рамках государственного задания Министерства науки и высшего образования Российской Федерации (тема № 124112200072-2).</w:t>
      </w:r>
    </w:p>
    <w:p w14:paraId="6EB5B13A" w14:textId="77777777" w:rsidR="00396B08" w:rsidRPr="00CC0B14" w:rsidRDefault="00396B08" w:rsidP="00C9083D">
      <w:pPr>
        <w:pStyle w:val="Author"/>
        <w:spacing w:before="0" w:after="0"/>
        <w:rPr>
          <w:i/>
          <w:sz w:val="20"/>
          <w:szCs w:val="20"/>
          <w:lang w:val="ru-RU"/>
        </w:rPr>
      </w:pPr>
    </w:p>
    <w:p w14:paraId="5AA9AA73" w14:textId="26666C61" w:rsidR="000A394A" w:rsidRPr="00CC0B14" w:rsidRDefault="000A394A" w:rsidP="00182F4A">
      <w:pPr>
        <w:spacing w:line="228" w:lineRule="auto"/>
        <w:jc w:val="both"/>
        <w:rPr>
          <w:b/>
          <w:bCs/>
        </w:rPr>
        <w:sectPr w:rsidR="000A394A" w:rsidRPr="00CC0B14" w:rsidSect="00396B08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33381602" w14:textId="77777777" w:rsidR="00141181" w:rsidRPr="00CC0B14" w:rsidRDefault="000563AD" w:rsidP="00141181">
      <w:pPr>
        <w:spacing w:after="200" w:line="228" w:lineRule="auto"/>
        <w:ind w:firstLine="272"/>
        <w:jc w:val="both"/>
        <w:rPr>
          <w:b/>
          <w:bCs/>
          <w:sz w:val="18"/>
          <w:szCs w:val="18"/>
        </w:rPr>
      </w:pPr>
      <w:r w:rsidRPr="00CC0B14">
        <w:rPr>
          <w:b/>
          <w:bCs/>
          <w:i/>
          <w:iCs/>
          <w:sz w:val="18"/>
          <w:szCs w:val="18"/>
        </w:rPr>
        <w:lastRenderedPageBreak/>
        <w:t xml:space="preserve">Аннотация. </w:t>
      </w:r>
      <w:r w:rsidR="00141181" w:rsidRPr="00CC0B14">
        <w:rPr>
          <w:b/>
          <w:bCs/>
          <w:sz w:val="18"/>
          <w:szCs w:val="18"/>
        </w:rPr>
        <w:t xml:space="preserve">В статье рассмотрена платформа </w:t>
      </w:r>
      <w:proofErr w:type="spellStart"/>
      <w:r w:rsidR="00141181" w:rsidRPr="00CC0B14">
        <w:rPr>
          <w:b/>
          <w:bCs/>
          <w:sz w:val="18"/>
          <w:szCs w:val="18"/>
        </w:rPr>
        <w:t>RuFLEX</w:t>
      </w:r>
      <w:proofErr w:type="spellEnd"/>
      <w:r w:rsidR="00141181" w:rsidRPr="00CC0B14">
        <w:rPr>
          <w:b/>
          <w:bCs/>
          <w:sz w:val="18"/>
          <w:szCs w:val="18"/>
        </w:rPr>
        <w:t xml:space="preserve"> для анализа </w:t>
      </w:r>
      <w:proofErr w:type="spellStart"/>
      <w:r w:rsidR="00141181" w:rsidRPr="00CC0B14">
        <w:rPr>
          <w:b/>
          <w:bCs/>
          <w:sz w:val="18"/>
          <w:szCs w:val="18"/>
        </w:rPr>
        <w:t>геоданных</w:t>
      </w:r>
      <w:proofErr w:type="spellEnd"/>
      <w:r w:rsidR="00141181" w:rsidRPr="00CC0B14">
        <w:rPr>
          <w:b/>
          <w:bCs/>
          <w:sz w:val="18"/>
          <w:szCs w:val="18"/>
        </w:rPr>
        <w:t xml:space="preserve">, в которой реализовано математическое ядро глубоко-нечеткого вывода. Ядро строится как последовательность скрытых нечетких концептов, возникающих из локальных блоков правил и сохраняющих связь с исходными признаками, термами и правилами. Рассматриваются несколько конфигураций модели, различающихся способом передачи признаковой информации к решающему слою. Сопоставляются строго последовательная глубокая схема и варианты, в которых вместе с последним скрытым уровнем сохраняются исходные признаки и промежуточные представления. Экспериментальная проверка выполнена на </w:t>
      </w:r>
      <w:proofErr w:type="spellStart"/>
      <w:r w:rsidR="00141181" w:rsidRPr="00CC0B14">
        <w:rPr>
          <w:b/>
          <w:bCs/>
          <w:sz w:val="18"/>
          <w:szCs w:val="18"/>
        </w:rPr>
        <w:t>геоориентированных</w:t>
      </w:r>
      <w:proofErr w:type="spellEnd"/>
      <w:r w:rsidR="00141181" w:rsidRPr="00CC0B14">
        <w:rPr>
          <w:b/>
          <w:bCs/>
          <w:sz w:val="18"/>
          <w:szCs w:val="18"/>
        </w:rPr>
        <w:t xml:space="preserve"> задачах регрессии и бинарной классификации. Показано, что качество определяется не самим увеличением глубины, а организацией вывода внутри модели. Конфигурации с сохранением исходного сигнала устойчиво превосходят строго последовательную схему. Полученные результаты позволяют рассматривать математическое ядро </w:t>
      </w:r>
      <w:proofErr w:type="spellStart"/>
      <w:r w:rsidR="00141181" w:rsidRPr="00CC0B14">
        <w:rPr>
          <w:b/>
          <w:bCs/>
          <w:sz w:val="18"/>
          <w:szCs w:val="18"/>
        </w:rPr>
        <w:t>RuFLEX</w:t>
      </w:r>
      <w:proofErr w:type="spellEnd"/>
      <w:r w:rsidR="00141181" w:rsidRPr="00CC0B14">
        <w:rPr>
          <w:b/>
          <w:bCs/>
          <w:sz w:val="18"/>
          <w:szCs w:val="18"/>
        </w:rPr>
        <w:t xml:space="preserve"> как основу для интерпретируемого анализа геоданных в задачах прогноза и классификации. </w:t>
      </w:r>
    </w:p>
    <w:p w14:paraId="27773CA8" w14:textId="1EA7D74D" w:rsidR="004820C7" w:rsidRPr="00CC0B14" w:rsidRDefault="000563AD" w:rsidP="00141181">
      <w:pPr>
        <w:spacing w:after="200" w:line="228" w:lineRule="auto"/>
        <w:ind w:firstLine="272"/>
        <w:jc w:val="both"/>
        <w:rPr>
          <w:b/>
          <w:bCs/>
          <w:i/>
          <w:iCs/>
          <w:sz w:val="18"/>
          <w:szCs w:val="18"/>
        </w:rPr>
      </w:pPr>
      <w:r w:rsidRPr="00CC0B14">
        <w:rPr>
          <w:b/>
          <w:bCs/>
          <w:i/>
          <w:iCs/>
          <w:sz w:val="18"/>
          <w:szCs w:val="18"/>
        </w:rPr>
        <w:t xml:space="preserve">Ключевые слова: </w:t>
      </w:r>
      <w:r w:rsidR="00141181" w:rsidRPr="00CC0B14">
        <w:rPr>
          <w:b/>
          <w:bCs/>
          <w:i/>
          <w:iCs/>
          <w:sz w:val="18"/>
          <w:szCs w:val="18"/>
        </w:rPr>
        <w:t>геоданные; глубокое нечеткое обучение; гибридные нечеткие модели; скрытые нечеткие концепты; интерпретируемый вывод; пространственная классификация</w:t>
      </w:r>
    </w:p>
    <w:p w14:paraId="7E119490" w14:textId="6310E77C" w:rsidR="004820C7" w:rsidRPr="00CC0B14" w:rsidRDefault="000563AD" w:rsidP="00BE571F">
      <w:pPr>
        <w:pStyle w:val="1"/>
      </w:pPr>
      <w:r w:rsidRPr="00CC0B14">
        <w:t>Введение</w:t>
      </w:r>
    </w:p>
    <w:p w14:paraId="755C0DD8" w14:textId="3A5F027A" w:rsidR="001D1F94" w:rsidRPr="00CC0B14" w:rsidRDefault="001D1F94" w:rsidP="00BE571F">
      <w:pPr>
        <w:pStyle w:val="a3"/>
      </w:pPr>
      <w:r w:rsidRPr="00CC0B14">
        <w:t xml:space="preserve">В задачах </w:t>
      </w:r>
      <w:proofErr w:type="spellStart"/>
      <w:r w:rsidRPr="00CC0B14">
        <w:t>геоаналитики</w:t>
      </w:r>
      <w:proofErr w:type="spellEnd"/>
      <w:r w:rsidRPr="00CC0B14">
        <w:t xml:space="preserve">, пространственной классификации и прогноза по геоданным важен понятный ход вывода. Нужно видеть, какие признаки вошли в решение, как они </w:t>
      </w:r>
      <w:proofErr w:type="gramStart"/>
      <w:r w:rsidRPr="00CC0B14">
        <w:t>соотнеслись друг с другом и как это отразилось</w:t>
      </w:r>
      <w:proofErr w:type="gramEnd"/>
      <w:r w:rsidRPr="00CC0B14">
        <w:t xml:space="preserve"> в результате. Поэтому </w:t>
      </w:r>
      <w:r w:rsidR="003944E5">
        <w:t>в данной задач</w:t>
      </w:r>
      <w:r w:rsidR="00B1517E">
        <w:t>е</w:t>
      </w:r>
      <w:r w:rsidRPr="00CC0B14">
        <w:t xml:space="preserve"> особенно </w:t>
      </w:r>
      <w:r w:rsidR="003944E5">
        <w:t>ценятся</w:t>
      </w:r>
      <w:r w:rsidRPr="00CC0B14">
        <w:t xml:space="preserve"> модели, где числовые признаки прямо связаны с термами и правилами [1–3]. По мере усложнения данных обыч</w:t>
      </w:r>
      <w:r w:rsidR="003944E5">
        <w:t>ным</w:t>
      </w:r>
      <w:r w:rsidRPr="00CC0B14">
        <w:t xml:space="preserve"> нечетки</w:t>
      </w:r>
      <w:r w:rsidR="003944E5">
        <w:t>м</w:t>
      </w:r>
      <w:r w:rsidRPr="00CC0B14">
        <w:t xml:space="preserve"> схем</w:t>
      </w:r>
      <w:r w:rsidR="003944E5">
        <w:t>ам</w:t>
      </w:r>
      <w:r w:rsidRPr="00CC0B14">
        <w:t xml:space="preserve"> </w:t>
      </w:r>
      <w:r w:rsidR="003944E5">
        <w:t xml:space="preserve">не удается удержать все зависимости </w:t>
      </w:r>
      <w:r w:rsidRPr="00CC0B14">
        <w:t xml:space="preserve">в компактной форме, а переход к глубоким моделям делает внутреннее устройство вывода менее ясным [4, 5]. Отсюда возникает задача построить такой алгоритм, в котором усложнение представления не разрушает его смысловую связность. В рассматриваемом подходе глубина понимается как последовательное формирование скрытых нечетких концептов из локальных блоков правил. Благодаря этому </w:t>
      </w:r>
      <w:r w:rsidRPr="00CC0B14">
        <w:lastRenderedPageBreak/>
        <w:t>каждый следующий уровень сохраняет связь с исходным пространством признаков, а модель по мере усложнения не утрачивает внутреннюю логику вывода.</w:t>
      </w:r>
    </w:p>
    <w:p w14:paraId="678BFE0B" w14:textId="304C9A0A" w:rsidR="001D1F94" w:rsidRPr="00CC0B14" w:rsidRDefault="001D1F94" w:rsidP="00BE571F">
      <w:pPr>
        <w:pStyle w:val="a3"/>
      </w:pPr>
      <w:r w:rsidRPr="00CC0B14">
        <w:t xml:space="preserve">Платформа </w:t>
      </w:r>
      <w:proofErr w:type="spellStart"/>
      <w:r w:rsidRPr="00CC0B14">
        <w:t>RuFLEX</w:t>
      </w:r>
      <w:proofErr w:type="spellEnd"/>
      <w:r w:rsidRPr="00CC0B14">
        <w:t xml:space="preserve"> создавалась как среда для построения и исследования таких моделей. Ее содержательное ядро образует гибридный глубоко-нечеткий алгоритм, который объединяет </w:t>
      </w:r>
      <w:proofErr w:type="spellStart"/>
      <w:r w:rsidRPr="00CC0B14">
        <w:t>фаззификацию</w:t>
      </w:r>
      <w:proofErr w:type="spellEnd"/>
      <w:r w:rsidRPr="00CC0B14">
        <w:t xml:space="preserve"> признаков, локальные правила, скрытые концепты и решающий слой в одну последовательность вычислений. </w:t>
      </w:r>
      <w:r w:rsidR="00613711">
        <w:t>Важной частью</w:t>
      </w:r>
      <w:r w:rsidRPr="00CC0B14">
        <w:t xml:space="preserve"> здесь </w:t>
      </w:r>
      <w:r w:rsidR="00613711">
        <w:t>является</w:t>
      </w:r>
      <w:r w:rsidRPr="00CC0B14">
        <w:t xml:space="preserve"> способ передачи признаковой информации к итоговому решению. Для этого сопоставляются </w:t>
      </w:r>
      <w:r w:rsidR="0060194C" w:rsidRPr="00CC0B14">
        <w:t>классическая</w:t>
      </w:r>
      <w:r w:rsidRPr="00CC0B14">
        <w:t xml:space="preserve"> конфигурация, строго последовательная глубокая схема и варианты, где вместе с последним скрытым уровнем сохраняются исходные признаки или промежуточные представления. Такое сравнение показывает, какая организация вывода дает выигрыш на </w:t>
      </w:r>
      <w:proofErr w:type="spellStart"/>
      <w:r w:rsidRPr="00CC0B14">
        <w:t>геоориентированных</w:t>
      </w:r>
      <w:proofErr w:type="spellEnd"/>
      <w:r w:rsidRPr="00CC0B14">
        <w:t xml:space="preserve"> задачах и за счет чего он возникает.</w:t>
      </w:r>
    </w:p>
    <w:p w14:paraId="009DDF77" w14:textId="77777777" w:rsidR="001D1F94" w:rsidRPr="00CC0B14" w:rsidRDefault="001D1F94" w:rsidP="00BE571F">
      <w:pPr>
        <w:pStyle w:val="a3"/>
      </w:pPr>
      <w:r w:rsidRPr="00CC0B14">
        <w:t>В статье рассматриваются устройство этого ядра, его математическое описание и результаты сравнительного исследования на задачах регрессии и классификации. Основное внимание сосредоточено на тех свойствах модели, которые определяются самой организацией глубоко-нечеткого вывода и проявляются при работе с геоданными.</w:t>
      </w:r>
    </w:p>
    <w:p w14:paraId="316E5296" w14:textId="1A8D6906" w:rsidR="001D1F94" w:rsidRPr="00CC0B14" w:rsidRDefault="001D1F94" w:rsidP="00BE571F">
      <w:pPr>
        <w:pStyle w:val="1"/>
      </w:pPr>
      <w:r w:rsidRPr="00CC0B14">
        <w:t>Алгоритмический контур модели</w:t>
      </w:r>
    </w:p>
    <w:p w14:paraId="1B1CDE0D" w14:textId="6AAE07CE" w:rsidR="001D1F94" w:rsidRPr="00CC0B14" w:rsidRDefault="001D1F94" w:rsidP="00BE571F">
      <w:pPr>
        <w:pStyle w:val="a3"/>
      </w:pPr>
      <w:r w:rsidRPr="00CC0B14">
        <w:t xml:space="preserve">Математическое ядро платформы </w:t>
      </w:r>
      <w:proofErr w:type="spellStart"/>
      <w:r w:rsidRPr="00CC0B14">
        <w:t>RuFLEX</w:t>
      </w:r>
      <w:proofErr w:type="spellEnd"/>
      <w:r w:rsidRPr="00CC0B14">
        <w:t xml:space="preserve"> строится как последовательность преобразований, в которой исходные признаки не теряются во внутренних вычислениях, а переходят в более сложные нечеткие представления. На первом шаге каждому признаку ставится в соответствие набор термов, заданных функциями принадлежности. За счет этого числовое значение сразу входит в интерпретируемое описание, где сохраняется связь между исходным признаком и его нечеткой характеристикой [1, 3]. С этого начинается весь дальнейший ход вывода, поскольку именно здесь исходное пространство данных получает форму, пригодную для работы с правилами. </w:t>
      </w:r>
    </w:p>
    <w:p w14:paraId="3D7F46A7" w14:textId="77777777" w:rsidR="001D1F94" w:rsidRPr="00CC0B14" w:rsidRDefault="001D1F94" w:rsidP="00BE571F">
      <w:pPr>
        <w:pStyle w:val="a3"/>
      </w:pPr>
      <w:r w:rsidRPr="00CC0B14">
        <w:t xml:space="preserve">Далее в ядре </w:t>
      </w:r>
      <w:proofErr w:type="spellStart"/>
      <w:r w:rsidRPr="00CC0B14">
        <w:t>RuFLEX</w:t>
      </w:r>
      <w:proofErr w:type="spellEnd"/>
      <w:r w:rsidRPr="00CC0B14">
        <w:t xml:space="preserve"> формируются локальные блоки правил. Они не сводятся к одной общей базе для всех признаков сразу. Такая конструкция быстро становится </w:t>
      </w:r>
      <w:r w:rsidRPr="00CC0B14">
        <w:lastRenderedPageBreak/>
        <w:t xml:space="preserve">громоздкой и плохо удерживает внутреннюю логику модели. Поэтому правила задаются локально, в пределах небольших групп признаков. Каждый блок работает со своей частью признакового пространства и формирует собственный отклик. Это сдерживает рост сложности и позволяет постепенно усложнять представление объекта. При таком построении сохраняется смысл отдельного правила, а сама модель получает возможность разворачивать более сложную схему вывода [1–3]. </w:t>
      </w:r>
    </w:p>
    <w:p w14:paraId="56C65BC5" w14:textId="054E5AD7" w:rsidR="001D1F94" w:rsidRPr="00CC0B14" w:rsidRDefault="001D1F94" w:rsidP="00BE571F">
      <w:pPr>
        <w:pStyle w:val="a3"/>
      </w:pPr>
      <w:r w:rsidRPr="00CC0B14">
        <w:t>Из работы этих блоков возникают скрытые нечеткие концепты. Они не являются безымянными внутренними состояниями, поскольку каждый такой концепт связан с определенной совокупностью признаков и откликов правил. Здесь глубина получает вполне определенный смысл. Она выражает не простое увеличение числа слоев, а последовательное построение новых нечетких представлений объекта. Такой ход позволяет усложнять модель без утраты внутренней связности. Модель переходит от исходных признаков к промежуточным нечетким описаниям, которые сохраняют связь с правилами и могут использоваться на следующем уровне обработки [5].</w:t>
      </w:r>
    </w:p>
    <w:p w14:paraId="4EDFC834" w14:textId="2CBA6F27" w:rsidR="001D1F94" w:rsidRPr="00CC0B14" w:rsidRDefault="001D1F94" w:rsidP="001D1F94">
      <w:pPr>
        <w:spacing w:after="120"/>
        <w:jc w:val="center"/>
      </w:pPr>
      <w:r w:rsidRPr="00CC0B14">
        <w:rPr>
          <w:noProof/>
          <w:lang w:eastAsia="ru-RU"/>
        </w:rPr>
        <w:drawing>
          <wp:inline distT="0" distB="0" distL="0" distR="0" wp14:anchorId="0746FE31" wp14:editId="38D71BEF">
            <wp:extent cx="1985934" cy="2500745"/>
            <wp:effectExtent l="0" t="0" r="0" b="0"/>
            <wp:docPr id="20641231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123133" name="Рисунок 20641231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1286" cy="2520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B6198" w14:textId="5EF86C5C" w:rsidR="001D1F94" w:rsidRPr="00CC0B14" w:rsidRDefault="001D1F94" w:rsidP="00BE571F">
      <w:pPr>
        <w:pStyle w:val="a"/>
      </w:pPr>
      <w:r w:rsidRPr="00CC0B14">
        <w:t xml:space="preserve">Архитектура платформы </w:t>
      </w:r>
      <w:proofErr w:type="spellStart"/>
      <w:r w:rsidRPr="00CC0B14">
        <w:rPr>
          <w:lang w:val="en-US"/>
        </w:rPr>
        <w:t>RuFLEX</w:t>
      </w:r>
      <w:proofErr w:type="spellEnd"/>
      <w:r w:rsidRPr="00CC0B14">
        <w:t xml:space="preserve"> и ее математического ядра: </w:t>
      </w:r>
      <w:proofErr w:type="spellStart"/>
      <w:r w:rsidRPr="00CC0B14">
        <w:t>фаззификация</w:t>
      </w:r>
      <w:proofErr w:type="spellEnd"/>
      <w:r w:rsidRPr="00CC0B14">
        <w:t xml:space="preserve"> признаков, локальные блоки правил, скрытые нечеткие концепты и варианты подачи информации к решающему слою.</w:t>
      </w:r>
    </w:p>
    <w:p w14:paraId="0A4BC808" w14:textId="3080C6DC" w:rsidR="001D1F94" w:rsidRPr="00CC0B14" w:rsidRDefault="00CB2929" w:rsidP="00BE571F">
      <w:pPr>
        <w:pStyle w:val="a3"/>
      </w:pPr>
      <w:r w:rsidRPr="00CC0B14">
        <w:t>Стандартный</w:t>
      </w:r>
      <w:r w:rsidR="001D1F94" w:rsidRPr="00CC0B14">
        <w:t xml:space="preserve"> и глубокий режимы</w:t>
      </w:r>
      <w:r w:rsidRPr="00CC0B14">
        <w:t xml:space="preserve"> обучения</w:t>
      </w:r>
      <w:r w:rsidR="001D1F94" w:rsidRPr="00CC0B14">
        <w:t xml:space="preserve"> различаются здесь числом стадий и способом построения промежуточного представления. В </w:t>
      </w:r>
      <w:r w:rsidRPr="00CC0B14">
        <w:t xml:space="preserve">классической </w:t>
      </w:r>
      <w:r w:rsidR="001D1F94" w:rsidRPr="00CC0B14">
        <w:t xml:space="preserve">конфигурации </w:t>
      </w:r>
      <w:proofErr w:type="spellStart"/>
      <w:r w:rsidR="001D1F94" w:rsidRPr="00CC0B14">
        <w:t>фаззификация</w:t>
      </w:r>
      <w:proofErr w:type="spellEnd"/>
      <w:r w:rsidR="001D1F94" w:rsidRPr="00CC0B14">
        <w:t xml:space="preserve"> сравнительно быстро переходит к финальному решению, и по своей логике такая схема близка к компактным нейро-нечетким моделям [3]. В глубокой конфигурации та же основа разворачивается в последовательность скрытых концептов, возникающих из локального взаимодействия признаков. За счет этого математическое ядро платформы получает более гибкий способ описания сложных зависимостей и сохраняет вывод, основанный на правилах.</w:t>
      </w:r>
    </w:p>
    <w:p w14:paraId="30A331A9" w14:textId="77777777" w:rsidR="001D1F94" w:rsidRPr="00CC0B14" w:rsidRDefault="001D1F94" w:rsidP="00BE571F">
      <w:pPr>
        <w:pStyle w:val="a3"/>
      </w:pPr>
      <w:r w:rsidRPr="00CC0B14">
        <w:t xml:space="preserve">Различие между </w:t>
      </w:r>
      <w:r w:rsidRPr="00BE571F">
        <w:t>конфигурациями</w:t>
      </w:r>
      <w:r w:rsidRPr="00CC0B14">
        <w:t xml:space="preserve"> определяется тем, какая именно информация поступает к решающему слою. Если итоговое решение опирается только на последний скрытый уровень, весь путь вывода подчиняется строгой последовательной схеме. При таком устройстве часть исходного сигнала может </w:t>
      </w:r>
      <w:r w:rsidRPr="00CC0B14">
        <w:lastRenderedPageBreak/>
        <w:t xml:space="preserve">ослабляться уже на промежуточных стадиях. Поэтому в ядре </w:t>
      </w:r>
      <w:proofErr w:type="spellStart"/>
      <w:r w:rsidRPr="00CC0B14">
        <w:t>RuFLEX</w:t>
      </w:r>
      <w:proofErr w:type="spellEnd"/>
      <w:r w:rsidRPr="00CC0B14">
        <w:t xml:space="preserve"> рассматриваются и другие варианты. Решающий слой может использовать последнее скрытое представление вместе с исходными признаками или получать более широкий набор данных, куда входят и промежуточные скрытые концепты. От этого зависит, насколько полно сохраняется информация на пути от входа к ответу. Общая схема такого перехода показана на рис. 1.</w:t>
      </w:r>
    </w:p>
    <w:p w14:paraId="71264325" w14:textId="3E02D103" w:rsidR="004820C7" w:rsidRPr="00CC0B14" w:rsidRDefault="00C043E0" w:rsidP="00BE571F">
      <w:pPr>
        <w:pStyle w:val="1"/>
      </w:pPr>
      <w:r w:rsidRPr="00CC0B14">
        <w:t>Математическая схема модели</w:t>
      </w:r>
    </w:p>
    <w:p w14:paraId="276056BF" w14:textId="1162DFFE" w:rsidR="001D1F94" w:rsidRPr="00CC0B14" w:rsidRDefault="001D1F94" w:rsidP="00BE571F">
      <w:pPr>
        <w:pStyle w:val="a3"/>
      </w:pPr>
      <w:r w:rsidRPr="00CC0B14">
        <w:t xml:space="preserve">В разделе приводится математическое описание глубоко-нечеткого ядра, реализованного в платформе </w:t>
      </w:r>
      <w:proofErr w:type="spellStart"/>
      <w:r w:rsidRPr="00CC0B14">
        <w:t>RuFLEX</w:t>
      </w:r>
      <w:proofErr w:type="spellEnd"/>
      <w:r w:rsidRPr="00CC0B14">
        <w:t>. Формализация задает переход от исходных признаков к скрытым нечетким концептам и определяет структуру вычислений на всех уровнях модели.</w:t>
      </w:r>
    </w:p>
    <w:p w14:paraId="6A3A551F" w14:textId="5D754191" w:rsidR="001D1F94" w:rsidRPr="00CC0B14" w:rsidRDefault="001D1F94" w:rsidP="00BE571F">
      <w:pPr>
        <w:pStyle w:val="a3"/>
      </w:pPr>
      <w:r w:rsidRPr="00CC0B14">
        <w:t xml:space="preserve">Пусть объект описывается вектором исходных признаков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 w:rsidRPr="00CC0B14">
        <w:t xml:space="preserve">. После нормализации каждый признак переводится в форму, пригодную для нечеткого описания. Для </w:t>
      </w:r>
      <m:oMath>
        <m:r>
          <w:rPr>
            <w:rFonts w:ascii="Cambria Math" w:hAnsi="Cambria Math"/>
          </w:rPr>
          <m:t/>
        </m:r>
        <w:proofErr w:type="gramStart"/>
        <m:r>
          <w:rPr>
            <w:rFonts w:ascii="Cambria Math" w:hAnsi="Cambria Math"/>
          </w:rPr>
          <m:t/>
        </m:r>
      </m:oMath>
      <w:r w:rsidRPr="00CC0B14">
        <w:t>-</w:t>
      </w:r>
      <w:proofErr w:type="gramEnd"/>
      <w:r w:rsidRPr="00CC0B14">
        <w:t xml:space="preserve">го признака и </w:t>
      </w:r>
      <m:oMath>
        <m:r>
          <w:rPr>
            <w:rFonts w:ascii="Cambria Math" w:hAnsi="Cambria Math"/>
          </w:rPr>
          <m:t>j</m:t>
        </m:r>
      </m:oMath>
      <w:r w:rsidRPr="00CC0B14">
        <w:t xml:space="preserve">-го терма вводится функция принадлежности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Pr="00CC0B14">
        <w:t xml:space="preserve">, задающая степень соответствия значения признака данному терму. В качестве </w:t>
      </w:r>
      <w:proofErr w:type="gramStart"/>
      <w:r w:rsidRPr="00CC0B14">
        <w:t>основной</w:t>
      </w:r>
      <w:proofErr w:type="gramEnd"/>
      <w:r w:rsidRPr="00CC0B14">
        <w:t xml:space="preserve"> используется гауссова форма</w:t>
      </w:r>
    </w:p>
    <w:p w14:paraId="7F57947C" w14:textId="36A12440" w:rsidR="00C043E0" w:rsidRPr="00BE571F" w:rsidRDefault="00FF0C3D" w:rsidP="00BE571F">
      <w:pPr>
        <w:spacing w:after="120" w:line="216" w:lineRule="auto"/>
        <w:jc w:val="right"/>
        <w:rPr>
          <w:rFonts w:eastAsiaTheme="minorEastAsia"/>
        </w:rPr>
      </w:pPr>
      <m:oMath>
        <m:m>
          <m:mPr>
            <m:plcHide m:val="1"/>
            <m:mcs>
              <m:mc>
                <m:mcPr>
                  <m:count m:val="4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ij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)=</m:t>
              </m:r>
              <m:r>
                <w:rPr>
                  <w:rFonts w:ascii="Cambria Math" w:hAnsi="Cambria Math"/>
                </w:rPr>
                <m:t>exp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sepChr m:val="−"/>
                          <m:endChr m:val="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den>
                  </m:f>
                </m:e>
              </m:d>
              <m:r>
                <w:rPr>
                  <w:rFonts w:ascii="Cambria Math" w:hAnsi="Cambria Math"/>
                </w:rPr>
                <m:t>,</m:t>
              </m:r>
            </m:e>
            <m:e/>
            <m:e/>
          </m:mr>
        </m:m>
      </m:oMath>
      <w:r w:rsidR="00BE571F">
        <w:rPr>
          <w:rFonts w:eastAsiaTheme="minorEastAsia"/>
          <w:i/>
        </w:rPr>
        <w:t xml:space="preserve"> </w:t>
      </w:r>
      <w:r w:rsidR="00BE571F">
        <w:rPr>
          <w:rFonts w:eastAsiaTheme="minorEastAsia"/>
        </w:rPr>
        <w:t>(1)</w:t>
      </w:r>
    </w:p>
    <w:p w14:paraId="72E6B126" w14:textId="2DC94AB3" w:rsidR="001D1F94" w:rsidRPr="00CC0B14" w:rsidRDefault="001D1F94" w:rsidP="00BE571F">
      <w:pPr>
        <w:pStyle w:val="a3"/>
        <w:ind w:firstLine="0"/>
      </w:pPr>
      <w:r w:rsidRPr="00CC0B14"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C043E0" w:rsidRPr="00CC0B14">
        <w:rPr>
          <w:rFonts w:eastAsiaTheme="minorEastAsia"/>
        </w:rPr>
        <w:t xml:space="preserve"> </w:t>
      </w:r>
      <w:r w:rsidRPr="00CC0B14">
        <w:t xml:space="preserve">есть нормализованное значение признака,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="00C043E0" w:rsidRPr="00CC0B14">
        <w:rPr>
          <w:rFonts w:eastAsiaTheme="minorEastAsia"/>
        </w:rPr>
        <w:t xml:space="preserve"> </w:t>
      </w:r>
      <w:r w:rsidRPr="00CC0B14">
        <w:t xml:space="preserve">задает центр терма, 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="00C043E0" w:rsidRPr="00CC0B14">
        <w:rPr>
          <w:rFonts w:eastAsiaTheme="minorEastAsia"/>
        </w:rPr>
        <w:t xml:space="preserve"> </w:t>
      </w:r>
      <w:r w:rsidRPr="00CC0B14">
        <w:t xml:space="preserve">определяет его ширину. Такая запись сохраняет гладкость и позволяет обучать параметры термов вместе с остальными параметрами модели. С этого шага начинается переход от числового пространства признаков к нечеткому представлению объекта [1, 3]. </w:t>
      </w:r>
    </w:p>
    <w:p w14:paraId="1726FA24" w14:textId="11F08300" w:rsidR="001D1F94" w:rsidRPr="00CC0B14" w:rsidRDefault="001D1F94" w:rsidP="001D1F94">
      <w:pPr>
        <w:spacing w:after="120" w:line="228" w:lineRule="auto"/>
        <w:ind w:firstLine="284"/>
        <w:jc w:val="both"/>
      </w:pPr>
      <w:r w:rsidRPr="00CC0B14">
        <w:t xml:space="preserve">Далее для каждого локального блока правил формируются активации. Если правило </w:t>
      </w:r>
      <m:oMath>
        <m:r>
          <w:rPr>
            <w:rFonts w:ascii="Cambria Math" w:hAnsi="Cambria Math"/>
          </w:rPr>
          <m:t>r</m:t>
        </m:r>
      </m:oMath>
      <w:r w:rsidR="00C043E0" w:rsidRPr="00CC0B14">
        <w:rPr>
          <w:rFonts w:eastAsiaTheme="minorEastAsia"/>
          <w:iCs/>
        </w:rPr>
        <w:t xml:space="preserve"> </w:t>
      </w:r>
      <w:r w:rsidRPr="00CC0B14">
        <w:t xml:space="preserve">опирается на несколько антецедентов, его ненормированная активация определяется произведением соответствующих степеней принадлежности. После этого выполняется нормировка, и для </w:t>
      </w:r>
      <m:oMath>
        <m:r>
          <w:rPr>
            <w:rFonts w:ascii="Cambria Math" w:hAnsi="Cambria Math"/>
          </w:rPr>
          <m:t/>
        </m:r>
        <w:proofErr w:type="gramStart"/>
        <m:r>
          <w:rPr>
            <w:rFonts w:ascii="Cambria Math" w:hAnsi="Cambria Math"/>
          </w:rPr>
          <m:t/>
        </m:r>
      </m:oMath>
      <w:r w:rsidRPr="00CC0B14">
        <w:t>-</w:t>
      </w:r>
      <w:proofErr w:type="gramEnd"/>
      <w:r w:rsidRPr="00CC0B14">
        <w:t>го правила на выбранном уровне получаем</w:t>
      </w:r>
    </w:p>
    <w:p w14:paraId="10A71439" w14:textId="71D277A6" w:rsidR="00C043E0" w:rsidRPr="00BE571F" w:rsidRDefault="00FF0C3D" w:rsidP="00BE571F">
      <w:pPr>
        <w:spacing w:before="240" w:after="240" w:line="216" w:lineRule="auto"/>
        <w:jc w:val="right"/>
      </w:pPr>
      <m:oMath>
        <m:m>
          <m:mPr>
            <m:plcHide m:val="1"/>
            <m:mcs>
              <m:mc>
                <m:mcPr>
                  <m:count m:val="4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ˉ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num>
                <m:den>
                  <m:nary>
                    <m:naryPr>
                      <m:chr m:val="∑"/>
                      <m:limLoc m:val="undOvr"/>
                      <m:grow m:val="1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ε</m:t>
                  </m:r>
                </m:den>
              </m:f>
              <m:r>
                <w:rPr>
                  <w:rFonts w:ascii="Cambria Math" w:hAnsi="Cambria Math"/>
                </w:rPr>
                <m:t>,</m:t>
              </m:r>
            </m:e>
            <m:e/>
            <m:e/>
          </m:mr>
        </m:m>
      </m:oMath>
      <w:r w:rsidR="00BE571F">
        <w:tab/>
        <w:t xml:space="preserve">        (2)</w:t>
      </w:r>
    </w:p>
    <w:p w14:paraId="1A5A1C4C" w14:textId="576AE242" w:rsidR="001D1F94" w:rsidRPr="00CC0B14" w:rsidRDefault="001D1F94" w:rsidP="00BE571F">
      <w:pPr>
        <w:pStyle w:val="a3"/>
        <w:ind w:firstLine="0"/>
      </w:pPr>
      <w:r w:rsidRPr="00CC0B14"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C043E0" w:rsidRPr="00CC0B14">
        <w:rPr>
          <w:rFonts w:eastAsiaTheme="minorEastAsia"/>
        </w:rPr>
        <w:t xml:space="preserve"> </w:t>
      </w:r>
      <w:r w:rsidRPr="00CC0B14">
        <w:t xml:space="preserve">есть исходная активация правила, а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 w:rsidR="00C043E0" w:rsidRPr="00CC0B14">
        <w:rPr>
          <w:rFonts w:eastAsiaTheme="minorEastAsia"/>
        </w:rPr>
        <w:t xml:space="preserve"> </w:t>
      </w:r>
      <w:r w:rsidRPr="00CC0B14">
        <w:t xml:space="preserve">вводится для устойчивости вычислений. Такая форма удобна и с вычислительной стороны, и с содержательной, поскольку позволяет рассматривать </w:t>
      </w:r>
      <w:r w:rsidR="00C043E0" w:rsidRPr="00CC0B14">
        <w:t>правило,</w:t>
      </w:r>
      <w:r w:rsidRPr="00CC0B14">
        <w:t xml:space="preserve"> как локальный носитель вклада в решение и вместе с тем сохранять сопоставимость правил внутри одного блока [2, 3]. </w:t>
      </w:r>
    </w:p>
    <w:p w14:paraId="0DFC3D3E" w14:textId="7B3B0BFC" w:rsidR="001D1F94" w:rsidRPr="00CC0B14" w:rsidRDefault="001D1F94" w:rsidP="00BE571F">
      <w:pPr>
        <w:pStyle w:val="a3"/>
      </w:pPr>
      <w:r w:rsidRPr="00CC0B14">
        <w:t xml:space="preserve">Выход локального блока образует скрытый нечеткий концепт. Если на уровне </w:t>
      </w:r>
      <m:oMath>
        <m:r>
          <w:rPr>
            <w:rFonts w:ascii="Cambria Math" w:hAnsi="Cambria Math"/>
          </w:rPr>
          <m:t>l</m:t>
        </m:r>
      </m:oMath>
      <w:r w:rsidR="00E16B14" w:rsidRPr="00CC0B14">
        <w:rPr>
          <w:rFonts w:eastAsiaTheme="minorEastAsia"/>
          <w:iCs/>
        </w:rPr>
        <w:t xml:space="preserve"> </w:t>
      </w:r>
      <w:r w:rsidRPr="00CC0B14">
        <w:t xml:space="preserve">используется группа правил с нормированными весами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ˉ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</w:rPr>
              <m:t>r</m:t>
            </m:r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l</m:t>
                </m:r>
              </m:e>
            </m:d>
          </m:sup>
        </m:sSubSup>
      </m:oMath>
      <w:r w:rsidR="00E16B14" w:rsidRPr="00CC0B14">
        <w:rPr>
          <w:rFonts w:eastAsiaTheme="minorEastAsia"/>
        </w:rPr>
        <w:t xml:space="preserve"> </w:t>
      </w:r>
      <w:r w:rsidRPr="00CC0B14">
        <w:t xml:space="preserve">и заключениями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r</m:t>
            </m:r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l</m:t>
                </m:r>
              </m:e>
            </m:d>
          </m:sup>
        </m:sSubSup>
      </m:oMath>
      <w:r w:rsidRPr="00CC0B14">
        <w:t>, то соответствующий концепт записывается в виде</w:t>
      </w:r>
    </w:p>
    <w:p w14:paraId="11A41798" w14:textId="579D703D" w:rsidR="00141181" w:rsidRPr="00CC0B14" w:rsidRDefault="00FF0C3D" w:rsidP="00BE571F">
      <w:pPr>
        <w:spacing w:before="240" w:after="240" w:line="216" w:lineRule="auto"/>
        <w:jc w:val="right"/>
      </w:pPr>
      <m:oMath>
        <m:m>
          <m:mPr>
            <m:plcHide m:val="1"/>
            <m:mcs>
              <m:mc>
                <m:mcPr>
                  <m:count m:val="4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/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</m:d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)=</m:t>
              </m:r>
              <m:nary>
                <m:naryPr>
                  <m:chr m:val="∑"/>
                  <m:limLoc m:val="undOvr"/>
                  <m:grow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acc>
                        <m:accPr>
                          <m:chr m:val="ˉ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</m:d>
                    </m:sup>
                  </m:sSubSup>
                </m:e>
              </m:nary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</m:d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).</m:t>
              </m:r>
            </m:e>
            <m:e/>
            <m:e/>
          </m:mr>
        </m:m>
      </m:oMath>
      <w:r w:rsidR="00BE571F">
        <w:t xml:space="preserve"> (3)</w:t>
      </w:r>
    </w:p>
    <w:p w14:paraId="706233AC" w14:textId="52729AA9" w:rsidR="001D1F94" w:rsidRPr="00CC0B14" w:rsidRDefault="001D1F94" w:rsidP="00BE571F">
      <w:pPr>
        <w:pStyle w:val="a3"/>
      </w:pPr>
      <w:r w:rsidRPr="00CC0B14">
        <w:t xml:space="preserve">В этой точке глубина получает точный смысл. Скрытый уровень возникает не как абстрактное внутреннее состояние, а как новое нечеткое описание объекта, построенное из локальных откликов правил. </w:t>
      </w:r>
      <w:r w:rsidRPr="00CC0B14">
        <w:lastRenderedPageBreak/>
        <w:t xml:space="preserve">Поэтому переход от одного уровня к другому сохраняет внутреннюю логику модели и не разрывает связь между признаками, термами и правилами. Последовательность скрытых уровней можно понимать как последовательность все более сложных нечетких концептов, а не как цепочку непрозрачных преобразований [5]. </w:t>
      </w:r>
    </w:p>
    <w:p w14:paraId="02654B38" w14:textId="6B826752" w:rsidR="001D1F94" w:rsidRPr="00CC0B14" w:rsidRDefault="001D1F94" w:rsidP="00BE571F">
      <w:pPr>
        <w:pStyle w:val="a3"/>
      </w:pPr>
      <w:r w:rsidRPr="00CC0B14">
        <w:t xml:space="preserve">Дальнейшее различие между конфигурациями связано с тем, какая информация поступает к решающему слою. В одном случае решение строится только по последнему скрытому уровню. </w:t>
      </w:r>
      <w:proofErr w:type="gramStart"/>
      <w:r w:rsidRPr="00CC0B14">
        <w:t>В</w:t>
      </w:r>
      <w:proofErr w:type="gramEnd"/>
      <w:r w:rsidRPr="00CC0B14">
        <w:t xml:space="preserve"> </w:t>
      </w:r>
      <w:proofErr w:type="gramStart"/>
      <w:r w:rsidRPr="00CC0B14">
        <w:t>другом</w:t>
      </w:r>
      <w:proofErr w:type="gramEnd"/>
      <w:r w:rsidR="00BE571F">
        <w:t xml:space="preserve"> –</w:t>
      </w:r>
      <w:r w:rsidRPr="00CC0B14">
        <w:t xml:space="preserve"> к нему добавляются исходные признаки. В более насыщенной конфигурации сохраняются также промежуточные скрытые концепты. Тем самым состав входа решающего слоя становится частью самой архитектуры модели. От этого зависит, насколько полно сохраняется информация на пути от входа к выходу и в какой мере глубина работает как средство построения содержательных промежуточных представлений. </w:t>
      </w:r>
    </w:p>
    <w:p w14:paraId="03034F08" w14:textId="77777777" w:rsidR="001D1F94" w:rsidRPr="00CC0B14" w:rsidRDefault="001D1F94" w:rsidP="00BE571F">
      <w:pPr>
        <w:pStyle w:val="a3"/>
      </w:pPr>
      <w:r w:rsidRPr="00CC0B14">
        <w:t xml:space="preserve">Математическая схема модели подчинена одной логике. Сначала признак получает нечеткое описание через функцию принадлежности. Затем из этих описаний складываются локальные правила. После этого правила образуют скрытые концепты, а уже из них строится итоговое решение. Такая организация позволяет усложнять внутреннее представление объекта без разрыва между этапами вычисления. </w:t>
      </w:r>
    </w:p>
    <w:p w14:paraId="3C1D791B" w14:textId="4DE7C0E1" w:rsidR="002251CD" w:rsidRPr="00CC0B14" w:rsidRDefault="003E1517" w:rsidP="00BE571F">
      <w:pPr>
        <w:pStyle w:val="1"/>
      </w:pPr>
      <w:r w:rsidRPr="00CC0B14">
        <w:t>Экспериментальная постановка</w:t>
      </w:r>
    </w:p>
    <w:p w14:paraId="4EE9DDC0" w14:textId="621D2BB7" w:rsidR="003E1517" w:rsidRPr="00CC0B14" w:rsidRDefault="003E1517" w:rsidP="00BE571F">
      <w:pPr>
        <w:pStyle w:val="a3"/>
      </w:pPr>
      <w:r w:rsidRPr="00CC0B14">
        <w:t xml:space="preserve">Экспериментальная проверка проводилась в среде платформы </w:t>
      </w:r>
      <w:proofErr w:type="spellStart"/>
      <w:r w:rsidRPr="00CC0B14">
        <w:t>RuFLEX</w:t>
      </w:r>
      <w:proofErr w:type="spellEnd"/>
      <w:r w:rsidRPr="00CC0B14">
        <w:t>, где реализовано математическое ядро глубоко-нечеткого вывода</w:t>
      </w:r>
      <w:r w:rsidR="00E16B14" w:rsidRPr="00CC0B14">
        <w:t xml:space="preserve"> [6]. </w:t>
      </w:r>
      <w:r w:rsidRPr="00CC0B14">
        <w:t>Платформа использовалась для задания конфигурации модели, запуска обучения и фиксации результатов</w:t>
      </w:r>
      <w:r w:rsidR="00E16B14" w:rsidRPr="00CC0B14">
        <w:t xml:space="preserve"> [7]</w:t>
      </w:r>
      <w:r w:rsidRPr="00CC0B14">
        <w:t xml:space="preserve">. В вычислительной части сравнивались несколько режимов работы ядра, различающихся способом передачи информации к решающему слою. В строго последовательной глубокой конфигурации решение строилось только по последнему скрытому уровню. В других вариантах к нему добавлялись исходные признаки или сохранялся более широкий набор промежуточных скрытых представлений. Тем самым проверялось, как организация вывода влияет на качество решения. </w:t>
      </w:r>
    </w:p>
    <w:p w14:paraId="7CECF6AC" w14:textId="223DE1D1" w:rsidR="003E1517" w:rsidRPr="00CC0B14" w:rsidRDefault="003E1517" w:rsidP="00BE571F">
      <w:pPr>
        <w:pStyle w:val="a3"/>
      </w:pPr>
      <w:r w:rsidRPr="00CC0B14">
        <w:t xml:space="preserve">В качестве основного материала были выбраны две постановки на данных </w:t>
      </w:r>
      <w:proofErr w:type="spellStart"/>
      <w:r w:rsidRPr="00CC0B14">
        <w:t>California</w:t>
      </w:r>
      <w:proofErr w:type="spellEnd"/>
      <w:r w:rsidRPr="00CC0B14">
        <w:t xml:space="preserve"> </w:t>
      </w:r>
      <w:proofErr w:type="spellStart"/>
      <w:r w:rsidRPr="00CC0B14">
        <w:t>Housing</w:t>
      </w:r>
      <w:proofErr w:type="spellEnd"/>
      <w:r w:rsidR="00E16B14" w:rsidRPr="00CC0B14">
        <w:t xml:space="preserve"> [8]</w:t>
      </w:r>
      <w:r w:rsidRPr="00CC0B14">
        <w:t xml:space="preserve">. В первой рассматривалась регрессия по целевой переменной стоимости жилья, во второй на том же признаковом пространстве задавалась бинарная классификация. Такой выбор позволял сравнивать конфигурации на одном и том же </w:t>
      </w:r>
      <w:proofErr w:type="spellStart"/>
      <w:r w:rsidRPr="00CC0B14">
        <w:t>геоданном</w:t>
      </w:r>
      <w:proofErr w:type="spellEnd"/>
      <w:r w:rsidRPr="00CC0B14">
        <w:t xml:space="preserve"> массиве при двух типах отклика. Пространственные координаты сохранялись в составе входных признаков и рассматривались как часть исходного описания объекта. За счет этого различия между режимами можно связывать с устройством модели, а не с переходом к другому типу данных. </w:t>
      </w:r>
    </w:p>
    <w:p w14:paraId="29C02237" w14:textId="63E864AA" w:rsidR="003E1517" w:rsidRPr="00CC0B14" w:rsidRDefault="003E1517" w:rsidP="00BE571F">
      <w:pPr>
        <w:pStyle w:val="a3"/>
      </w:pPr>
      <w:r w:rsidRPr="00CC0B14">
        <w:t xml:space="preserve">Во всех вычислительных опытах использовалось разбиение выборки на обучающую, проверочную и тестовую части в отношении 0.6, 0.2 и 0.2. Оценка выполнялась в нескольких запусках с последующим усреднением результатов. </w:t>
      </w:r>
      <w:proofErr w:type="gramStart"/>
      <w:r w:rsidRPr="00CC0B14">
        <w:t xml:space="preserve">Для регрессионной постановки в основном тексте использовалась метрика RMSE, для классификационной – </w:t>
      </w:r>
      <w:proofErr w:type="spellStart"/>
      <w:r w:rsidRPr="00CC0B14">
        <w:t>accuracy</w:t>
      </w:r>
      <w:proofErr w:type="spellEnd"/>
      <w:r w:rsidR="0060194C" w:rsidRPr="00CC0B14">
        <w:t xml:space="preserve">. </w:t>
      </w:r>
      <w:proofErr w:type="gramEnd"/>
    </w:p>
    <w:p w14:paraId="4AED6A07" w14:textId="4491E29A" w:rsidR="003E1517" w:rsidRPr="00CC0B14" w:rsidRDefault="003E1517" w:rsidP="003E1517">
      <w:pPr>
        <w:spacing w:after="120" w:line="228" w:lineRule="auto"/>
        <w:ind w:firstLine="284"/>
        <w:jc w:val="both"/>
      </w:pPr>
      <w:r w:rsidRPr="00CC0B14">
        <w:lastRenderedPageBreak/>
        <w:t xml:space="preserve">Наряду с внутренним сравнением режимов учитывались и внешние ориентиры. Для этого результаты ядра </w:t>
      </w:r>
      <w:proofErr w:type="spellStart"/>
      <w:r w:rsidRPr="00CC0B14">
        <w:t>RuFLEX</w:t>
      </w:r>
      <w:proofErr w:type="spellEnd"/>
      <w:r w:rsidRPr="00CC0B14">
        <w:t xml:space="preserve"> сопоставлялись с линейными моделями, градиентным </w:t>
      </w:r>
      <w:proofErr w:type="spellStart"/>
      <w:r w:rsidRPr="00CC0B14">
        <w:t>бустингом</w:t>
      </w:r>
      <w:proofErr w:type="spellEnd"/>
      <w:r w:rsidRPr="00CC0B14">
        <w:t>, случайным лесом и многослойным персептроном, обученными на тех же разбиениях данных</w:t>
      </w:r>
      <w:r w:rsidR="00E16B14" w:rsidRPr="00CC0B14">
        <w:t xml:space="preserve"> [9]</w:t>
      </w:r>
      <w:r w:rsidRPr="00CC0B14">
        <w:t>. Однако основной смысл эксперимента состоял в выявлении различий между конфигурациями самого глубоко-нечеткого ядра.</w:t>
      </w:r>
    </w:p>
    <w:p w14:paraId="15FAEA0F" w14:textId="4EDF6715" w:rsidR="004820C7" w:rsidRPr="00CC0B14" w:rsidRDefault="00141181" w:rsidP="00BE571F">
      <w:pPr>
        <w:pStyle w:val="1"/>
      </w:pPr>
      <w:r w:rsidRPr="00CC0B14">
        <w:t>Результаты и обсуждение</w:t>
      </w:r>
    </w:p>
    <w:p w14:paraId="5811D481" w14:textId="3395802D" w:rsidR="00141181" w:rsidRPr="00CC0B14" w:rsidRDefault="00141181" w:rsidP="00BE571F">
      <w:pPr>
        <w:pStyle w:val="a3"/>
      </w:pPr>
      <w:r w:rsidRPr="00CC0B14">
        <w:t>Сравнение конфигураций показывает, что результат определяется устройством самого вывода. Сводные значения приведены в табл. 1. Из этого сопоставления видно, что строго последовательная глубокая схема не дает выигрыша, на который можно было бы рассчитывать при усложнении модели. В задаче регрессии она уступает тем вариантам, где к решающему слою сохраняется доступ исходных признаков. Та же картина повторяется и в задаче классификации, где различие между режимами выражено еще отчетливее.</w:t>
      </w:r>
    </w:p>
    <w:p w14:paraId="3662209D" w14:textId="04C294B4" w:rsidR="00537C76" w:rsidRPr="00CC0B14" w:rsidRDefault="00537C76" w:rsidP="00BE571F">
      <w:pPr>
        <w:pStyle w:val="a1"/>
        <w:ind w:hanging="153"/>
      </w:pPr>
      <w:r w:rsidRPr="00CC0B14">
        <w:t xml:space="preserve">Сравнение глубоких конфигураций модели на </w:t>
      </w:r>
      <w:proofErr w:type="spellStart"/>
      <w:r w:rsidRPr="00CC0B14">
        <w:t>геоориентированных</w:t>
      </w:r>
      <w:proofErr w:type="spellEnd"/>
      <w:r w:rsidRPr="00CC0B14">
        <w:t xml:space="preserve"> задачах</w:t>
      </w:r>
    </w:p>
    <w:tbl>
      <w:tblPr>
        <w:tblStyle w:val="af8"/>
        <w:tblW w:w="4876" w:type="dxa"/>
        <w:jc w:val="center"/>
        <w:tblLook w:val="04A0" w:firstRow="1" w:lastRow="0" w:firstColumn="1" w:lastColumn="0" w:noHBand="0" w:noVBand="1"/>
      </w:tblPr>
      <w:tblGrid>
        <w:gridCol w:w="1863"/>
        <w:gridCol w:w="1570"/>
        <w:gridCol w:w="1443"/>
      </w:tblGrid>
      <w:tr w:rsidR="00E16B14" w:rsidRPr="00CC0B14" w14:paraId="4C0AA9B4" w14:textId="77777777" w:rsidTr="00BE571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37C8" w14:textId="77777777" w:rsidR="00E16B14" w:rsidRPr="00CC0B14" w:rsidRDefault="00E16B14" w:rsidP="00E16B14">
            <w:pPr>
              <w:jc w:val="center"/>
              <w:rPr>
                <w:sz w:val="16"/>
                <w:szCs w:val="16"/>
              </w:rPr>
            </w:pPr>
            <w:r w:rsidRPr="00CC0B14">
              <w:rPr>
                <w:b/>
                <w:bCs/>
                <w:sz w:val="16"/>
                <w:szCs w:val="16"/>
              </w:rPr>
              <w:t>Конфигурация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DBCF" w14:textId="77777777" w:rsidR="00E16B14" w:rsidRPr="00CC0B14" w:rsidRDefault="00E16B14" w:rsidP="00E16B14">
            <w:pPr>
              <w:jc w:val="center"/>
              <w:rPr>
                <w:sz w:val="16"/>
                <w:szCs w:val="16"/>
              </w:rPr>
            </w:pPr>
            <w:proofErr w:type="spellStart"/>
            <w:r w:rsidRPr="00CC0B14">
              <w:rPr>
                <w:b/>
                <w:bCs/>
                <w:sz w:val="16"/>
                <w:szCs w:val="16"/>
              </w:rPr>
              <w:t>California</w:t>
            </w:r>
            <w:proofErr w:type="spellEnd"/>
            <w:r w:rsidRPr="00CC0B14">
              <w:rPr>
                <w:sz w:val="16"/>
                <w:szCs w:val="16"/>
              </w:rPr>
              <w:t xml:space="preserve"> </w:t>
            </w:r>
            <w:proofErr w:type="spellStart"/>
            <w:r w:rsidRPr="00CC0B14">
              <w:rPr>
                <w:b/>
                <w:bCs/>
                <w:sz w:val="16"/>
                <w:szCs w:val="16"/>
              </w:rPr>
              <w:t>Housing</w:t>
            </w:r>
            <w:proofErr w:type="spellEnd"/>
            <w:r w:rsidRPr="00CC0B14">
              <w:rPr>
                <w:b/>
                <w:bCs/>
                <w:sz w:val="16"/>
                <w:szCs w:val="16"/>
              </w:rPr>
              <w:t xml:space="preserve"> (RMSE)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5A1B" w14:textId="77777777" w:rsidR="00E16B14" w:rsidRPr="00CC0B14" w:rsidRDefault="00E16B14" w:rsidP="00E16B14">
            <w:pPr>
              <w:jc w:val="center"/>
              <w:rPr>
                <w:sz w:val="16"/>
                <w:szCs w:val="16"/>
              </w:rPr>
            </w:pPr>
            <w:proofErr w:type="spellStart"/>
            <w:r w:rsidRPr="00CC0B14">
              <w:rPr>
                <w:b/>
                <w:bCs/>
                <w:sz w:val="16"/>
                <w:szCs w:val="16"/>
              </w:rPr>
              <w:t>Binary</w:t>
            </w:r>
            <w:proofErr w:type="spellEnd"/>
            <w:r w:rsidRPr="00CC0B1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C0B14">
              <w:rPr>
                <w:b/>
                <w:bCs/>
                <w:sz w:val="16"/>
                <w:szCs w:val="16"/>
              </w:rPr>
              <w:t>Geo</w:t>
            </w:r>
            <w:proofErr w:type="spellEnd"/>
            <w:r w:rsidRPr="00CC0B14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CC0B14">
              <w:rPr>
                <w:b/>
                <w:bCs/>
                <w:sz w:val="16"/>
                <w:szCs w:val="16"/>
              </w:rPr>
              <w:t>Accuracy</w:t>
            </w:r>
            <w:proofErr w:type="spellEnd"/>
            <w:r w:rsidRPr="00CC0B14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E16B14" w:rsidRPr="00CC0B14" w14:paraId="0D28A727" w14:textId="77777777" w:rsidTr="00BE571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4DCF" w14:textId="70DCF2A7" w:rsidR="00E16B14" w:rsidRPr="00CC0B14" w:rsidRDefault="00CB2929" w:rsidP="00E16B14">
            <w:pPr>
              <w:jc w:val="center"/>
              <w:rPr>
                <w:sz w:val="16"/>
                <w:szCs w:val="16"/>
              </w:rPr>
            </w:pPr>
            <w:r w:rsidRPr="00CC0B14">
              <w:rPr>
                <w:sz w:val="16"/>
                <w:szCs w:val="16"/>
              </w:rPr>
              <w:t>Классическая</w:t>
            </w:r>
            <w:r w:rsidR="00E16B14" w:rsidRPr="00CC0B14">
              <w:rPr>
                <w:sz w:val="16"/>
                <w:szCs w:val="16"/>
              </w:rPr>
              <w:t xml:space="preserve"> базовая конфигурация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DBDD" w14:textId="77777777" w:rsidR="00E16B14" w:rsidRPr="00CC0B14" w:rsidRDefault="00E16B14" w:rsidP="00E16B14">
            <w:pPr>
              <w:jc w:val="center"/>
              <w:rPr>
                <w:sz w:val="16"/>
                <w:szCs w:val="16"/>
              </w:rPr>
            </w:pPr>
            <w:r w:rsidRPr="00CC0B14">
              <w:rPr>
                <w:sz w:val="16"/>
                <w:szCs w:val="16"/>
              </w:rPr>
              <w:t>0.869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62B5" w14:textId="77777777" w:rsidR="00E16B14" w:rsidRPr="00CC0B14" w:rsidRDefault="00E16B14" w:rsidP="00E16B14">
            <w:pPr>
              <w:jc w:val="center"/>
              <w:rPr>
                <w:sz w:val="16"/>
                <w:szCs w:val="16"/>
              </w:rPr>
            </w:pPr>
            <w:r w:rsidRPr="00CC0B14">
              <w:rPr>
                <w:sz w:val="16"/>
                <w:szCs w:val="16"/>
              </w:rPr>
              <w:t>0.737</w:t>
            </w:r>
          </w:p>
        </w:tc>
      </w:tr>
      <w:tr w:rsidR="00E16B14" w:rsidRPr="00CC0B14" w14:paraId="72D848D7" w14:textId="77777777" w:rsidTr="00BE571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3E22" w14:textId="156C2837" w:rsidR="00E16B14" w:rsidRPr="00CC0B14" w:rsidRDefault="00CB2929" w:rsidP="00E16B14">
            <w:pPr>
              <w:jc w:val="center"/>
              <w:rPr>
                <w:sz w:val="16"/>
                <w:szCs w:val="16"/>
              </w:rPr>
            </w:pPr>
            <w:r w:rsidRPr="00CC0B14">
              <w:rPr>
                <w:sz w:val="16"/>
                <w:szCs w:val="16"/>
              </w:rPr>
              <w:t>Стандартная</w:t>
            </w:r>
            <w:r w:rsidR="00E16B14" w:rsidRPr="00CC0B14">
              <w:rPr>
                <w:sz w:val="16"/>
                <w:szCs w:val="16"/>
              </w:rPr>
              <w:t xml:space="preserve"> интерпретируемая конфигурация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9CAF" w14:textId="77777777" w:rsidR="00E16B14" w:rsidRPr="00CC0B14" w:rsidRDefault="00E16B14" w:rsidP="00E16B14">
            <w:pPr>
              <w:jc w:val="center"/>
              <w:rPr>
                <w:sz w:val="16"/>
                <w:szCs w:val="16"/>
              </w:rPr>
            </w:pPr>
            <w:r w:rsidRPr="00CC0B14">
              <w:rPr>
                <w:sz w:val="16"/>
                <w:szCs w:val="16"/>
              </w:rPr>
              <w:t>1.086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A2A3" w14:textId="77777777" w:rsidR="00E16B14" w:rsidRPr="00CC0B14" w:rsidRDefault="00E16B14" w:rsidP="00E16B14">
            <w:pPr>
              <w:jc w:val="center"/>
              <w:rPr>
                <w:sz w:val="16"/>
                <w:szCs w:val="16"/>
              </w:rPr>
            </w:pPr>
            <w:r w:rsidRPr="00CC0B14">
              <w:rPr>
                <w:sz w:val="16"/>
                <w:szCs w:val="16"/>
              </w:rPr>
              <w:t>0.650</w:t>
            </w:r>
          </w:p>
        </w:tc>
      </w:tr>
      <w:tr w:rsidR="00E16B14" w:rsidRPr="00CC0B14" w14:paraId="0554903C" w14:textId="77777777" w:rsidTr="00BE571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433C" w14:textId="77777777" w:rsidR="00E16B14" w:rsidRPr="00CC0B14" w:rsidRDefault="00E16B14" w:rsidP="00E16B14">
            <w:pPr>
              <w:jc w:val="center"/>
              <w:rPr>
                <w:sz w:val="16"/>
                <w:szCs w:val="16"/>
              </w:rPr>
            </w:pPr>
            <w:r w:rsidRPr="00CC0B14">
              <w:rPr>
                <w:sz w:val="16"/>
                <w:szCs w:val="16"/>
              </w:rPr>
              <w:t>Последовательная глубокая конфигурация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3AA0" w14:textId="77777777" w:rsidR="00E16B14" w:rsidRPr="00CC0B14" w:rsidRDefault="00E16B14" w:rsidP="00E16B14">
            <w:pPr>
              <w:jc w:val="center"/>
              <w:rPr>
                <w:sz w:val="16"/>
                <w:szCs w:val="16"/>
              </w:rPr>
            </w:pPr>
            <w:r w:rsidRPr="00CC0B14">
              <w:rPr>
                <w:sz w:val="16"/>
                <w:szCs w:val="16"/>
              </w:rPr>
              <w:t>0.797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E046" w14:textId="77777777" w:rsidR="00E16B14" w:rsidRPr="00CC0B14" w:rsidRDefault="00E16B14" w:rsidP="00E16B14">
            <w:pPr>
              <w:jc w:val="center"/>
              <w:rPr>
                <w:sz w:val="16"/>
                <w:szCs w:val="16"/>
              </w:rPr>
            </w:pPr>
            <w:r w:rsidRPr="00CC0B14">
              <w:rPr>
                <w:sz w:val="16"/>
                <w:szCs w:val="16"/>
              </w:rPr>
              <w:t>0.746</w:t>
            </w:r>
          </w:p>
        </w:tc>
      </w:tr>
      <w:tr w:rsidR="00E16B14" w:rsidRPr="00CC0B14" w14:paraId="160461C9" w14:textId="77777777" w:rsidTr="00BE571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071F" w14:textId="77777777" w:rsidR="00E16B14" w:rsidRPr="00CC0B14" w:rsidRDefault="00E16B14" w:rsidP="00E16B14">
            <w:pPr>
              <w:jc w:val="center"/>
              <w:rPr>
                <w:sz w:val="16"/>
                <w:szCs w:val="16"/>
              </w:rPr>
            </w:pPr>
            <w:r w:rsidRPr="00CC0B14">
              <w:rPr>
                <w:sz w:val="16"/>
                <w:szCs w:val="16"/>
              </w:rPr>
              <w:t>Глубокая конфигурация с объединением исходных признаков и финальной стадии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E204" w14:textId="77777777" w:rsidR="00E16B14" w:rsidRPr="00CC0B14" w:rsidRDefault="00E16B14" w:rsidP="00E16B14">
            <w:pPr>
              <w:jc w:val="center"/>
              <w:rPr>
                <w:sz w:val="16"/>
                <w:szCs w:val="16"/>
              </w:rPr>
            </w:pPr>
            <w:r w:rsidRPr="00CC0B14">
              <w:rPr>
                <w:sz w:val="16"/>
                <w:szCs w:val="16"/>
              </w:rPr>
              <w:t>0.686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7E4F" w14:textId="77777777" w:rsidR="00E16B14" w:rsidRPr="00CC0B14" w:rsidRDefault="00E16B14" w:rsidP="00E16B14">
            <w:pPr>
              <w:jc w:val="center"/>
              <w:rPr>
                <w:sz w:val="16"/>
                <w:szCs w:val="16"/>
              </w:rPr>
            </w:pPr>
            <w:r w:rsidRPr="00CC0B14">
              <w:rPr>
                <w:sz w:val="16"/>
                <w:szCs w:val="16"/>
              </w:rPr>
              <w:t>0.824</w:t>
            </w:r>
          </w:p>
        </w:tc>
      </w:tr>
      <w:tr w:rsidR="00E16B14" w:rsidRPr="00CC0B14" w14:paraId="3FE19227" w14:textId="77777777" w:rsidTr="00BE571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21A1" w14:textId="77777777" w:rsidR="00E16B14" w:rsidRPr="00CC0B14" w:rsidRDefault="00E16B14" w:rsidP="00E16B14">
            <w:pPr>
              <w:jc w:val="center"/>
              <w:rPr>
                <w:sz w:val="16"/>
                <w:szCs w:val="16"/>
              </w:rPr>
            </w:pPr>
            <w:r w:rsidRPr="00CC0B14">
              <w:rPr>
                <w:sz w:val="16"/>
                <w:szCs w:val="16"/>
              </w:rPr>
              <w:t>Контекстная глубокая конфигурация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ED83" w14:textId="77777777" w:rsidR="00E16B14" w:rsidRPr="00CC0B14" w:rsidRDefault="00E16B14" w:rsidP="00E16B14">
            <w:pPr>
              <w:jc w:val="center"/>
              <w:rPr>
                <w:sz w:val="16"/>
                <w:szCs w:val="16"/>
              </w:rPr>
            </w:pPr>
            <w:r w:rsidRPr="00CC0B14">
              <w:rPr>
                <w:sz w:val="16"/>
                <w:szCs w:val="16"/>
              </w:rPr>
              <w:t>0.682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9421" w14:textId="77777777" w:rsidR="00E16B14" w:rsidRPr="00CC0B14" w:rsidRDefault="00E16B14" w:rsidP="00E16B14">
            <w:pPr>
              <w:jc w:val="center"/>
              <w:rPr>
                <w:sz w:val="16"/>
                <w:szCs w:val="16"/>
              </w:rPr>
            </w:pPr>
            <w:r w:rsidRPr="00CC0B14">
              <w:rPr>
                <w:sz w:val="16"/>
                <w:szCs w:val="16"/>
              </w:rPr>
              <w:t>0.825</w:t>
            </w:r>
          </w:p>
        </w:tc>
      </w:tr>
    </w:tbl>
    <w:p w14:paraId="37CF5DB0" w14:textId="77777777" w:rsidR="00BE571F" w:rsidRDefault="00BE571F" w:rsidP="00BE571F">
      <w:pPr>
        <w:spacing w:line="228" w:lineRule="auto"/>
        <w:ind w:firstLine="284"/>
        <w:jc w:val="both"/>
      </w:pPr>
    </w:p>
    <w:p w14:paraId="351651DF" w14:textId="77777777" w:rsidR="00141181" w:rsidRPr="00CC0B14" w:rsidRDefault="00141181" w:rsidP="00141181">
      <w:pPr>
        <w:spacing w:after="120" w:line="228" w:lineRule="auto"/>
        <w:ind w:firstLine="284"/>
        <w:jc w:val="both"/>
      </w:pPr>
      <w:r w:rsidRPr="00CC0B14">
        <w:t xml:space="preserve">Различие между этими режимами связано с устройством алгоритмического контура. В последовательной схеме зависимость проходит через цепочку скрытых уровней, и по мере продвижения часть исходного сигнала теряется. В результате итоговое решение опирается на более узкое представление объекта. Когда же к последнему скрытому уровню добавляются исходные признаки, модель сохраняет более полную информацию о входных данных. За счет этого она точнее воспроизводит зависимость и дает более устойчивый результат. </w:t>
      </w:r>
    </w:p>
    <w:p w14:paraId="344F98FA" w14:textId="77777777" w:rsidR="00141181" w:rsidRPr="00CC0B14" w:rsidRDefault="00141181" w:rsidP="00141181">
      <w:pPr>
        <w:spacing w:after="120" w:line="228" w:lineRule="auto"/>
        <w:ind w:firstLine="284"/>
        <w:jc w:val="both"/>
      </w:pPr>
      <w:r w:rsidRPr="00CC0B14">
        <w:t xml:space="preserve">Еще заметнее этот эффект проявляется в конфигурации, где решающий слой использует исходные признаки вместе с промежуточными скрытыми концептами. В таком случае модель не замыкается на одном финальном представлении, а опирается на несколько уровней описания объекта. Для геоданных это особенно важно, поскольку взаимодействие признаков здесь редко укладывается в одну жесткую последовательную схему. </w:t>
      </w:r>
    </w:p>
    <w:p w14:paraId="14F1CF1D" w14:textId="2A7770D1" w:rsidR="00141181" w:rsidRPr="00CC0B14" w:rsidRDefault="00141181" w:rsidP="00141181">
      <w:pPr>
        <w:spacing w:after="120"/>
        <w:jc w:val="center"/>
      </w:pPr>
      <w:r w:rsidRPr="00CC0B14">
        <w:rPr>
          <w:noProof/>
          <w:lang w:eastAsia="ru-RU"/>
        </w:rPr>
        <w:lastRenderedPageBreak/>
        <w:drawing>
          <wp:inline distT="0" distB="0" distL="0" distR="0" wp14:anchorId="78E6B758" wp14:editId="6D6B6BC1">
            <wp:extent cx="3096260" cy="1488211"/>
            <wp:effectExtent l="0" t="0" r="0" b="0"/>
            <wp:docPr id="17373473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47398" name="Рисунок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148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5D147" w14:textId="5F1C054D" w:rsidR="00141181" w:rsidRPr="00CC0B14" w:rsidRDefault="00141181" w:rsidP="00BE571F">
      <w:pPr>
        <w:pStyle w:val="a"/>
      </w:pPr>
      <w:r w:rsidRPr="00CC0B14">
        <w:t>Сравнение глубоких конфигураций на задачах регрессии и классификации. Сохранение исходных признаков и промежуточных представлений улучшает результат по сравнению со строго последовательной схемой.</w:t>
      </w:r>
    </w:p>
    <w:p w14:paraId="2F09CF57" w14:textId="77777777" w:rsidR="00141181" w:rsidRPr="00CC0B14" w:rsidRDefault="00141181" w:rsidP="00BE571F">
      <w:pPr>
        <w:pStyle w:val="a3"/>
      </w:pPr>
      <w:r w:rsidRPr="00CC0B14">
        <w:t xml:space="preserve">Наглядное сопоставление этих режимов приведено на рис. 2. Последовательная схема в обеих задачах показывает более слабый результат, тогда как конфигурации с сохранением исходного сигнала дают устойчивое преимущество. Это различие сохраняется при переходе от регрессии к классификации, что указывает на его устойчивый характер. </w:t>
      </w:r>
    </w:p>
    <w:p w14:paraId="2664019E" w14:textId="77777777" w:rsidR="00141181" w:rsidRPr="00CC0B14" w:rsidRDefault="00141181" w:rsidP="00BE571F">
      <w:pPr>
        <w:pStyle w:val="a3"/>
      </w:pPr>
      <w:r w:rsidRPr="00CC0B14">
        <w:t>Результаты показывают, что сама по себе глубина не гарантирует улучшения. Если модель устроена как жесткая последовательность преобразований, часть информации теряется уже на промежуточных этапах. Иной результат возникает в тех конфигурациях, где глубина сочетается с сохранением исходных признаков и промежуточных концептов. В этом случае модель получает более гибкий способ описания зависимости. Именно эта особенность и оказывается решающей при работе с геоданными, где структура связей между признаками обычно остается сложной и неоднородной.</w:t>
      </w:r>
    </w:p>
    <w:p w14:paraId="6D14AF28" w14:textId="712F5D51" w:rsidR="004820C7" w:rsidRPr="00CC0B14" w:rsidRDefault="00141181" w:rsidP="00BE571F">
      <w:pPr>
        <w:pStyle w:val="1"/>
      </w:pPr>
      <w:r w:rsidRPr="00CC0B14">
        <w:t>Заключение</w:t>
      </w:r>
    </w:p>
    <w:p w14:paraId="49AA639D" w14:textId="77777777" w:rsidR="00141181" w:rsidRPr="00CC0B14" w:rsidRDefault="00141181" w:rsidP="00141181">
      <w:pPr>
        <w:spacing w:after="120" w:line="228" w:lineRule="auto"/>
        <w:ind w:firstLine="284"/>
        <w:jc w:val="both"/>
      </w:pPr>
      <w:r w:rsidRPr="00CC0B14">
        <w:t xml:space="preserve">В статье рассмотрена платформа </w:t>
      </w:r>
      <w:proofErr w:type="spellStart"/>
      <w:r w:rsidRPr="00CC0B14">
        <w:t>RuFLEX</w:t>
      </w:r>
      <w:proofErr w:type="spellEnd"/>
      <w:r w:rsidRPr="00CC0B14">
        <w:t>, в которой реализовано математическое ядро глубоко-нечеткого вывода для анализа геоданных. Это ядро строится как последовательность скрытых нечетких концептов, возникающих из локальных блоков правил. Такая схема позволяет усложнять модель без разрыва связи с исходными признаками, термами и правилами.</w:t>
      </w:r>
    </w:p>
    <w:p w14:paraId="28BC5E18" w14:textId="77777777" w:rsidR="00141181" w:rsidRPr="00CC0B14" w:rsidRDefault="00141181" w:rsidP="00BE571F">
      <w:pPr>
        <w:pStyle w:val="a3"/>
      </w:pPr>
      <w:r w:rsidRPr="00CC0B14">
        <w:t xml:space="preserve">Сравнение конфигураций показало, что решающую роль играет способ организации вывода. Строго </w:t>
      </w:r>
      <w:r w:rsidRPr="00CC0B14">
        <w:lastRenderedPageBreak/>
        <w:t xml:space="preserve">последовательная глубокая схема уступает тем вариантам, где решающий слой сохраняет доступ к исходным признакам и промежуточным скрытым представлениям. Этот эффект воспроизводится в задачах регрессии и классификации и потому имеет устойчивый характер. </w:t>
      </w:r>
    </w:p>
    <w:p w14:paraId="5D729350" w14:textId="77777777" w:rsidR="00141181" w:rsidRPr="00CC0B14" w:rsidRDefault="00141181" w:rsidP="00BE571F">
      <w:pPr>
        <w:pStyle w:val="a3"/>
      </w:pPr>
      <w:r w:rsidRPr="00CC0B14">
        <w:t xml:space="preserve">Основной результат работы связан с устройством математического ядра </w:t>
      </w:r>
      <w:proofErr w:type="spellStart"/>
      <w:r w:rsidRPr="00CC0B14">
        <w:t>RuFLEX</w:t>
      </w:r>
      <w:proofErr w:type="spellEnd"/>
      <w:r w:rsidRPr="00CC0B14">
        <w:t xml:space="preserve">. Глубина здесь </w:t>
      </w:r>
      <w:proofErr w:type="gramStart"/>
      <w:r w:rsidRPr="00CC0B14">
        <w:t>выступает</w:t>
      </w:r>
      <w:proofErr w:type="gramEnd"/>
      <w:r w:rsidRPr="00CC0B14">
        <w:t xml:space="preserve"> как способ последовательно формировать новые нечеткие описания объекта при сохранении содержательной структуры решения. В таком виде разработанное ядро представляет интерес для </w:t>
      </w:r>
      <w:proofErr w:type="spellStart"/>
      <w:r w:rsidRPr="00CC0B14">
        <w:t>геоаналитических</w:t>
      </w:r>
      <w:proofErr w:type="spellEnd"/>
      <w:r w:rsidRPr="00CC0B14">
        <w:t xml:space="preserve"> задач, где требуется совместить качество прогноза с понятным ходом вывода. </w:t>
      </w:r>
    </w:p>
    <w:p w14:paraId="1D938CEA" w14:textId="294E1557" w:rsidR="009E029F" w:rsidRPr="00CC0B14" w:rsidRDefault="00537C76" w:rsidP="00BE571F">
      <w:pPr>
        <w:pStyle w:val="5"/>
        <w:rPr>
          <w:lang w:val="en-US"/>
        </w:rPr>
      </w:pPr>
      <w:r w:rsidRPr="00CC0B14">
        <w:t>Список</w:t>
      </w:r>
      <w:r w:rsidRPr="00CC0B14">
        <w:rPr>
          <w:lang w:val="en-US"/>
        </w:rPr>
        <w:t xml:space="preserve"> </w:t>
      </w:r>
      <w:r w:rsidRPr="00CC0B14">
        <w:t>литературы</w:t>
      </w:r>
    </w:p>
    <w:p w14:paraId="46C4690A" w14:textId="37C1DD14" w:rsidR="00E16B14" w:rsidRPr="00CC0B14" w:rsidRDefault="00E16B14" w:rsidP="00BE571F">
      <w:pPr>
        <w:pStyle w:val="a0"/>
        <w:rPr>
          <w:lang w:val="en-US"/>
        </w:rPr>
      </w:pPr>
      <w:proofErr w:type="spellStart"/>
      <w:r w:rsidRPr="00CC0B14">
        <w:rPr>
          <w:lang w:val="en-US"/>
        </w:rPr>
        <w:t>Zadeh</w:t>
      </w:r>
      <w:proofErr w:type="spellEnd"/>
      <w:r w:rsidRPr="00CC0B14">
        <w:rPr>
          <w:lang w:val="en-US"/>
        </w:rPr>
        <w:t xml:space="preserve"> L. A. Fuzzy Sets // Information</w:t>
      </w:r>
      <w:r w:rsidR="00BE571F">
        <w:rPr>
          <w:lang w:val="en-US"/>
        </w:rPr>
        <w:t xml:space="preserve"> and Control. 1965. Vol. 8, No.</w:t>
      </w:r>
      <w:r w:rsidR="00BE571F">
        <w:t> </w:t>
      </w:r>
      <w:r w:rsidRPr="00CC0B14">
        <w:rPr>
          <w:lang w:val="en-US"/>
        </w:rPr>
        <w:t>3. P. 338–353. DOI: 10.1016/S0019-9958(65)90241-X.</w:t>
      </w:r>
    </w:p>
    <w:p w14:paraId="77FE8583" w14:textId="676E83DE" w:rsidR="00E16B14" w:rsidRPr="00CC0B14" w:rsidRDefault="00E16B14" w:rsidP="00BE571F">
      <w:pPr>
        <w:pStyle w:val="a0"/>
        <w:rPr>
          <w:lang w:val="en-US"/>
        </w:rPr>
      </w:pPr>
      <w:r w:rsidRPr="00CC0B14">
        <w:rPr>
          <w:lang w:val="en-US"/>
        </w:rPr>
        <w:t>Wang L.-X., Mendel J. M. Generating Fuzzy Rules by Learning from Examples // IEEE Transactions on Systems, Man, and Cybernetics. 1992. Vol. 22, No. 6. P. 1414–1427. DOI: 10.1109/21.199466.</w:t>
      </w:r>
    </w:p>
    <w:p w14:paraId="7A54ED78" w14:textId="234B2567" w:rsidR="00E16B14" w:rsidRPr="00CC0B14" w:rsidRDefault="00E16B14" w:rsidP="00BE571F">
      <w:pPr>
        <w:pStyle w:val="a0"/>
        <w:rPr>
          <w:lang w:val="en-US"/>
        </w:rPr>
      </w:pPr>
      <w:r w:rsidRPr="00CC0B14">
        <w:rPr>
          <w:lang w:val="en-US"/>
        </w:rPr>
        <w:t>Jang J.-S. R. ANFIS: Adaptive-Network-Based Fuzzy Inference System // IEEE Transactions on Systems, Man, and Cybernetics. 1993. Vol. 23, No. 3. P. 665–685.</w:t>
      </w:r>
    </w:p>
    <w:p w14:paraId="2727109A" w14:textId="14E6B1CB" w:rsidR="00E16B14" w:rsidRPr="00CC0B14" w:rsidRDefault="00E16B14" w:rsidP="00BE571F">
      <w:pPr>
        <w:pStyle w:val="a0"/>
        <w:rPr>
          <w:lang w:val="en-US"/>
        </w:rPr>
      </w:pPr>
      <w:proofErr w:type="spellStart"/>
      <w:r w:rsidRPr="00CC0B14">
        <w:rPr>
          <w:lang w:val="en-US"/>
        </w:rPr>
        <w:t>Rudin</w:t>
      </w:r>
      <w:proofErr w:type="spellEnd"/>
      <w:r w:rsidRPr="00CC0B14">
        <w:rPr>
          <w:lang w:val="en-US"/>
        </w:rPr>
        <w:t xml:space="preserve"> C. Stop Explaining Black Box Machine Learning Models for High Stakes Decisions and Use Interpretable Models Instead // Nature Machine Intelligence. 2019. Vol. 1. P. 206–215. DOI: 10.1038/s42256-019-0048-x.</w:t>
      </w:r>
    </w:p>
    <w:p w14:paraId="20B4AF1A" w14:textId="713F7642" w:rsidR="00E16B14" w:rsidRPr="00CC0B14" w:rsidRDefault="00E16B14" w:rsidP="00BE571F">
      <w:pPr>
        <w:pStyle w:val="a0"/>
        <w:rPr>
          <w:lang w:val="en-US"/>
        </w:rPr>
      </w:pPr>
      <w:r w:rsidRPr="00CC0B14">
        <w:rPr>
          <w:lang w:val="en-US"/>
        </w:rPr>
        <w:t>Ma X., Chen L., Deng Z., Wang X., Xu J. Deep Image Feature Learning With Fuzzy Rules // IEEE Transactions on Emerging Topics in Computational Intelligence. 2024. Vol. 8. P. 724–737. DOI: 10.1109/TETCI.2023.3259447.</w:t>
      </w:r>
    </w:p>
    <w:p w14:paraId="1D4FA8DA" w14:textId="2AA8C70D" w:rsidR="00E16B14" w:rsidRPr="00BE571F" w:rsidRDefault="00E16B14" w:rsidP="00BE571F">
      <w:pPr>
        <w:pStyle w:val="a0"/>
      </w:pPr>
      <w:proofErr w:type="spellStart"/>
      <w:r w:rsidRPr="00BE571F">
        <w:t>Lebedeffson</w:t>
      </w:r>
      <w:proofErr w:type="spellEnd"/>
      <w:r w:rsidRPr="00BE571F">
        <w:t xml:space="preserve">. </w:t>
      </w:r>
      <w:proofErr w:type="spellStart"/>
      <w:r w:rsidRPr="00BE571F">
        <w:t>deep-neuro-fuzzy</w:t>
      </w:r>
      <w:proofErr w:type="spellEnd"/>
      <w:r w:rsidRPr="00BE571F">
        <w:t xml:space="preserve"> [Электронный ресурс]. URL: </w:t>
      </w:r>
      <w:hyperlink r:id="rId11" w:tgtFrame="_new" w:history="1">
        <w:r w:rsidRPr="00BE571F">
          <w:rPr>
            <w:rStyle w:val="af0"/>
            <w:color w:val="auto"/>
            <w:u w:val="none"/>
          </w:rPr>
          <w:t>https://github.com/lebedeffson/deep-neuro-fuzzy</w:t>
        </w:r>
      </w:hyperlink>
      <w:r w:rsidRPr="00BE571F">
        <w:t xml:space="preserve"> (дата обращения: 13.04.2026).</w:t>
      </w:r>
    </w:p>
    <w:p w14:paraId="4EAE330A" w14:textId="27E907FA" w:rsidR="00E16B14" w:rsidRPr="00CC0B14" w:rsidRDefault="00E16B14" w:rsidP="00BE571F">
      <w:pPr>
        <w:pStyle w:val="a0"/>
        <w:rPr>
          <w:lang w:val="en-US"/>
        </w:rPr>
      </w:pPr>
      <w:proofErr w:type="spellStart"/>
      <w:r w:rsidRPr="00CC0B14">
        <w:rPr>
          <w:lang w:val="en-US"/>
        </w:rPr>
        <w:t>Paszke</w:t>
      </w:r>
      <w:proofErr w:type="spellEnd"/>
      <w:r w:rsidRPr="00CC0B14">
        <w:rPr>
          <w:lang w:val="en-US"/>
        </w:rPr>
        <w:t xml:space="preserve"> A., Gross S., Massa F., Lerer A., Bradbury J., Chanan G., Killeen T., Lin Z., </w:t>
      </w:r>
      <w:proofErr w:type="spellStart"/>
      <w:r w:rsidRPr="00CC0B14">
        <w:rPr>
          <w:lang w:val="en-US"/>
        </w:rPr>
        <w:t>Gimelshein</w:t>
      </w:r>
      <w:proofErr w:type="spellEnd"/>
      <w:r w:rsidRPr="00CC0B14">
        <w:rPr>
          <w:lang w:val="en-US"/>
        </w:rPr>
        <w:t xml:space="preserve"> N., </w:t>
      </w:r>
      <w:proofErr w:type="spellStart"/>
      <w:r w:rsidRPr="00CC0B14">
        <w:rPr>
          <w:lang w:val="en-US"/>
        </w:rPr>
        <w:t>Antiga</w:t>
      </w:r>
      <w:proofErr w:type="spellEnd"/>
      <w:r w:rsidRPr="00CC0B14">
        <w:rPr>
          <w:lang w:val="en-US"/>
        </w:rPr>
        <w:t xml:space="preserve"> L., </w:t>
      </w:r>
      <w:proofErr w:type="spellStart"/>
      <w:r w:rsidRPr="00CC0B14">
        <w:rPr>
          <w:lang w:val="en-US"/>
        </w:rPr>
        <w:t>Desmaison</w:t>
      </w:r>
      <w:proofErr w:type="spellEnd"/>
      <w:r w:rsidRPr="00CC0B14">
        <w:rPr>
          <w:lang w:val="en-US"/>
        </w:rPr>
        <w:t xml:space="preserve"> A., Kopf A., Yang E., DeVito Z., Raison M., Tejani A., </w:t>
      </w:r>
      <w:proofErr w:type="spellStart"/>
      <w:r w:rsidRPr="00CC0B14">
        <w:rPr>
          <w:lang w:val="en-US"/>
        </w:rPr>
        <w:t>Chilamkurthy</w:t>
      </w:r>
      <w:proofErr w:type="spellEnd"/>
      <w:r w:rsidRPr="00CC0B14">
        <w:rPr>
          <w:lang w:val="en-US"/>
        </w:rPr>
        <w:t xml:space="preserve"> S., Steiner B., Fang L., Bai J., Chintala S. </w:t>
      </w:r>
      <w:proofErr w:type="spellStart"/>
      <w:r w:rsidRPr="00CC0B14">
        <w:rPr>
          <w:lang w:val="en-US"/>
        </w:rPr>
        <w:t>PyTorch</w:t>
      </w:r>
      <w:proofErr w:type="spellEnd"/>
      <w:r w:rsidRPr="00CC0B14">
        <w:rPr>
          <w:lang w:val="en-US"/>
        </w:rPr>
        <w:t>: An Imperative Style, High-Performance Deep Learning Library // Advances in Neural Information Processing Systems. 2019. Vol. 32.</w:t>
      </w:r>
    </w:p>
    <w:p w14:paraId="323259BC" w14:textId="31E3DBE3" w:rsidR="00E16B14" w:rsidRPr="00CC0B14" w:rsidRDefault="00E16B14" w:rsidP="00BE571F">
      <w:pPr>
        <w:pStyle w:val="a0"/>
        <w:rPr>
          <w:lang w:val="en-US"/>
        </w:rPr>
      </w:pPr>
      <w:r w:rsidRPr="00CC0B14">
        <w:rPr>
          <w:lang w:val="en-US"/>
        </w:rPr>
        <w:t>Pace R. K., Barry R. Sparse Spatial Autoregressions // Statistics &amp; Probability Letters. 1997. Vol. 33, No. 3. P. 291–297. DOI: 10.1016/S0167-7152(96)00140-X.</w:t>
      </w:r>
    </w:p>
    <w:p w14:paraId="79620A6C" w14:textId="0D7753AF" w:rsidR="00E16B14" w:rsidRDefault="00E16B14" w:rsidP="00BE571F">
      <w:pPr>
        <w:pStyle w:val="a0"/>
      </w:pPr>
      <w:proofErr w:type="spellStart"/>
      <w:r w:rsidRPr="00CC0B14">
        <w:rPr>
          <w:lang w:val="en-US"/>
        </w:rPr>
        <w:t>Pedregosa</w:t>
      </w:r>
      <w:proofErr w:type="spellEnd"/>
      <w:r w:rsidRPr="00CC0B14">
        <w:rPr>
          <w:lang w:val="en-US"/>
        </w:rPr>
        <w:t xml:space="preserve"> F., </w:t>
      </w:r>
      <w:proofErr w:type="spellStart"/>
      <w:r w:rsidRPr="00CC0B14">
        <w:rPr>
          <w:lang w:val="en-US"/>
        </w:rPr>
        <w:t>Varoquaux</w:t>
      </w:r>
      <w:proofErr w:type="spellEnd"/>
      <w:r w:rsidRPr="00CC0B14">
        <w:rPr>
          <w:lang w:val="en-US"/>
        </w:rPr>
        <w:t xml:space="preserve"> G., </w:t>
      </w:r>
      <w:proofErr w:type="spellStart"/>
      <w:r w:rsidRPr="00CC0B14">
        <w:rPr>
          <w:lang w:val="en-US"/>
        </w:rPr>
        <w:t>Gramfort</w:t>
      </w:r>
      <w:proofErr w:type="spellEnd"/>
      <w:r w:rsidRPr="00CC0B14">
        <w:rPr>
          <w:lang w:val="en-US"/>
        </w:rPr>
        <w:t xml:space="preserve"> A., Michel V., Thirion B., Grisel O., Blondel M., </w:t>
      </w:r>
      <w:proofErr w:type="spellStart"/>
      <w:r w:rsidRPr="00CC0B14">
        <w:rPr>
          <w:lang w:val="en-US"/>
        </w:rPr>
        <w:t>Prettenhofer</w:t>
      </w:r>
      <w:proofErr w:type="spellEnd"/>
      <w:r w:rsidRPr="00CC0B14">
        <w:rPr>
          <w:lang w:val="en-US"/>
        </w:rPr>
        <w:t xml:space="preserve"> P., Weiss R., Dubourg V., Vanderplas J., Passos A., </w:t>
      </w:r>
      <w:proofErr w:type="spellStart"/>
      <w:r w:rsidRPr="00CC0B14">
        <w:rPr>
          <w:lang w:val="en-US"/>
        </w:rPr>
        <w:t>Cournapeau</w:t>
      </w:r>
      <w:proofErr w:type="spellEnd"/>
      <w:r w:rsidRPr="00CC0B14">
        <w:rPr>
          <w:lang w:val="en-US"/>
        </w:rPr>
        <w:t xml:space="preserve"> D., Brucher M., Perrot M., Duchesnay E. Scikit-learn: Machine Learning in Python // Journal of Machine Learning Research. 2011. Vol. 12. P. 2825–2830.</w:t>
      </w:r>
    </w:p>
    <w:p w14:paraId="032302CE" w14:textId="77777777" w:rsidR="00BE571F" w:rsidRDefault="00BE571F" w:rsidP="00BE571F">
      <w:pPr>
        <w:sectPr w:rsidR="00BE571F" w:rsidSect="00BE571F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586B4F73" w14:textId="27D3CB17" w:rsidR="00BE571F" w:rsidRPr="00BE571F" w:rsidRDefault="00BE571F" w:rsidP="00BE571F"/>
    <w:sectPr w:rsidR="00BE571F" w:rsidRPr="00BE571F" w:rsidSect="00BE571F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A020E" w14:textId="77777777" w:rsidR="00FF0C3D" w:rsidRDefault="00FF0C3D" w:rsidP="0041258C">
      <w:r>
        <w:separator/>
      </w:r>
    </w:p>
  </w:endnote>
  <w:endnote w:type="continuationSeparator" w:id="0">
    <w:p w14:paraId="19AE45EE" w14:textId="77777777" w:rsidR="00FF0C3D" w:rsidRDefault="00FF0C3D" w:rsidP="0041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18483" w14:textId="77777777" w:rsidR="00FF0C3D" w:rsidRDefault="00FF0C3D" w:rsidP="0041258C">
      <w:r>
        <w:separator/>
      </w:r>
    </w:p>
  </w:footnote>
  <w:footnote w:type="continuationSeparator" w:id="0">
    <w:p w14:paraId="6911C4E6" w14:textId="77777777" w:rsidR="00FF0C3D" w:rsidRDefault="00FF0C3D" w:rsidP="0041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42AF63FC"/>
    <w:multiLevelType w:val="hybridMultilevel"/>
    <w:tmpl w:val="0846A71A"/>
    <w:lvl w:ilvl="0" w:tplc="3A5E9682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D0"/>
    <w:rsid w:val="00004CD1"/>
    <w:rsid w:val="00047E48"/>
    <w:rsid w:val="000563AD"/>
    <w:rsid w:val="00061435"/>
    <w:rsid w:val="000639E5"/>
    <w:rsid w:val="00087686"/>
    <w:rsid w:val="000A349C"/>
    <w:rsid w:val="000A394A"/>
    <w:rsid w:val="000C03F6"/>
    <w:rsid w:val="000F0BD7"/>
    <w:rsid w:val="00125048"/>
    <w:rsid w:val="00135405"/>
    <w:rsid w:val="00137E55"/>
    <w:rsid w:val="00141181"/>
    <w:rsid w:val="00153055"/>
    <w:rsid w:val="00166D0A"/>
    <w:rsid w:val="0017353D"/>
    <w:rsid w:val="00182F4A"/>
    <w:rsid w:val="001A06D0"/>
    <w:rsid w:val="001B6F46"/>
    <w:rsid w:val="001B7230"/>
    <w:rsid w:val="001D1F94"/>
    <w:rsid w:val="001E5DE8"/>
    <w:rsid w:val="001F01EA"/>
    <w:rsid w:val="002251CD"/>
    <w:rsid w:val="002342CE"/>
    <w:rsid w:val="00296ECB"/>
    <w:rsid w:val="0032344F"/>
    <w:rsid w:val="003276B3"/>
    <w:rsid w:val="00345947"/>
    <w:rsid w:val="003944E5"/>
    <w:rsid w:val="00396B08"/>
    <w:rsid w:val="003B2EBE"/>
    <w:rsid w:val="003C0D47"/>
    <w:rsid w:val="003C7228"/>
    <w:rsid w:val="003E1517"/>
    <w:rsid w:val="00402CEC"/>
    <w:rsid w:val="0041258C"/>
    <w:rsid w:val="00443E21"/>
    <w:rsid w:val="00461C3A"/>
    <w:rsid w:val="004762E5"/>
    <w:rsid w:val="004820C7"/>
    <w:rsid w:val="00490D71"/>
    <w:rsid w:val="004A5526"/>
    <w:rsid w:val="004C1391"/>
    <w:rsid w:val="004E3884"/>
    <w:rsid w:val="005005F2"/>
    <w:rsid w:val="00501621"/>
    <w:rsid w:val="00537C76"/>
    <w:rsid w:val="005A3446"/>
    <w:rsid w:val="005C3B40"/>
    <w:rsid w:val="005C6A61"/>
    <w:rsid w:val="005F1140"/>
    <w:rsid w:val="0060194C"/>
    <w:rsid w:val="006055B1"/>
    <w:rsid w:val="00613711"/>
    <w:rsid w:val="006D3D98"/>
    <w:rsid w:val="006D4E48"/>
    <w:rsid w:val="006E5BF0"/>
    <w:rsid w:val="006F2F2B"/>
    <w:rsid w:val="007107CF"/>
    <w:rsid w:val="00755A1D"/>
    <w:rsid w:val="007615B4"/>
    <w:rsid w:val="00765B78"/>
    <w:rsid w:val="007E0A9E"/>
    <w:rsid w:val="007F54B6"/>
    <w:rsid w:val="00812630"/>
    <w:rsid w:val="00854E13"/>
    <w:rsid w:val="008761C2"/>
    <w:rsid w:val="008C0A77"/>
    <w:rsid w:val="008F1583"/>
    <w:rsid w:val="009102D7"/>
    <w:rsid w:val="009A0978"/>
    <w:rsid w:val="009A0CC9"/>
    <w:rsid w:val="009B074C"/>
    <w:rsid w:val="009E029F"/>
    <w:rsid w:val="009E5D6E"/>
    <w:rsid w:val="00A053C9"/>
    <w:rsid w:val="00A40A9D"/>
    <w:rsid w:val="00A51375"/>
    <w:rsid w:val="00A53E87"/>
    <w:rsid w:val="00A62D86"/>
    <w:rsid w:val="00A7061F"/>
    <w:rsid w:val="00AB116E"/>
    <w:rsid w:val="00AB7DAD"/>
    <w:rsid w:val="00AD01B8"/>
    <w:rsid w:val="00AF644E"/>
    <w:rsid w:val="00B10852"/>
    <w:rsid w:val="00B1517E"/>
    <w:rsid w:val="00B6035E"/>
    <w:rsid w:val="00B66412"/>
    <w:rsid w:val="00BB08AE"/>
    <w:rsid w:val="00BC3DAD"/>
    <w:rsid w:val="00BE02B1"/>
    <w:rsid w:val="00BE571F"/>
    <w:rsid w:val="00BF0C0A"/>
    <w:rsid w:val="00BF2801"/>
    <w:rsid w:val="00BF4BA9"/>
    <w:rsid w:val="00C043E0"/>
    <w:rsid w:val="00C23B10"/>
    <w:rsid w:val="00C9083D"/>
    <w:rsid w:val="00CA381A"/>
    <w:rsid w:val="00CA5AB6"/>
    <w:rsid w:val="00CB2929"/>
    <w:rsid w:val="00CC0B14"/>
    <w:rsid w:val="00CD142D"/>
    <w:rsid w:val="00D1561C"/>
    <w:rsid w:val="00D32380"/>
    <w:rsid w:val="00D3398E"/>
    <w:rsid w:val="00D67308"/>
    <w:rsid w:val="00D72AA7"/>
    <w:rsid w:val="00DA709B"/>
    <w:rsid w:val="00E01990"/>
    <w:rsid w:val="00E05F15"/>
    <w:rsid w:val="00E12FCC"/>
    <w:rsid w:val="00E152EE"/>
    <w:rsid w:val="00E16B14"/>
    <w:rsid w:val="00E175BE"/>
    <w:rsid w:val="00E41B3E"/>
    <w:rsid w:val="00EE211B"/>
    <w:rsid w:val="00EF7FD0"/>
    <w:rsid w:val="00F35100"/>
    <w:rsid w:val="00F522CF"/>
    <w:rsid w:val="00F704A6"/>
    <w:rsid w:val="00F82696"/>
    <w:rsid w:val="00F8785C"/>
    <w:rsid w:val="00F92D9E"/>
    <w:rsid w:val="00FD7B35"/>
    <w:rsid w:val="00FF0C3D"/>
    <w:rsid w:val="00FF229A"/>
    <w:rsid w:val="00FF3518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9D72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BE57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2"/>
    <w:next w:val="a3"/>
    <w:link w:val="10"/>
    <w:qFormat/>
    <w:rsid w:val="00BE571F"/>
    <w:pPr>
      <w:keepNext/>
      <w:keepLines/>
      <w:numPr>
        <w:numId w:val="5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E571F"/>
    <w:pPr>
      <w:keepNext/>
      <w:keepLines/>
      <w:numPr>
        <w:ilvl w:val="1"/>
        <w:numId w:val="5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BE571F"/>
    <w:pPr>
      <w:numPr>
        <w:ilvl w:val="2"/>
        <w:numId w:val="5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BE571F"/>
    <w:pPr>
      <w:numPr>
        <w:ilvl w:val="3"/>
        <w:numId w:val="5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BE571F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BE571F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1A06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1A06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1A06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4">
    <w:name w:val="Default Paragraph Font"/>
    <w:uiPriority w:val="1"/>
    <w:semiHidden/>
    <w:unhideWhenUsed/>
    <w:rsid w:val="00BE571F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BE571F"/>
  </w:style>
  <w:style w:type="character" w:customStyle="1" w:styleId="10">
    <w:name w:val="Заголовок 1 Знак"/>
    <w:link w:val="1"/>
    <w:rsid w:val="00BE571F"/>
    <w:rPr>
      <w:rFonts w:ascii="Times New Roman" w:eastAsia="SimSun" w:hAnsi="Times New Roman" w:cs="Times New Roman"/>
      <w:smallCaps/>
      <w:noProof/>
      <w:kern w:val="0"/>
      <w:sz w:val="20"/>
      <w:szCs w:val="20"/>
      <w14:ligatures w14:val="none"/>
    </w:rPr>
  </w:style>
  <w:style w:type="character" w:customStyle="1" w:styleId="20">
    <w:name w:val="Заголовок 2 Знак"/>
    <w:basedOn w:val="a4"/>
    <w:link w:val="2"/>
    <w:rsid w:val="00BE571F"/>
    <w:rPr>
      <w:rFonts w:ascii="Times New Roman" w:eastAsia="SimSun" w:hAnsi="Times New Roman" w:cs="Times New Roman"/>
      <w:i/>
      <w:iCs/>
      <w:noProof/>
      <w:kern w:val="0"/>
      <w:sz w:val="20"/>
      <w:szCs w:val="20"/>
      <w14:ligatures w14:val="none"/>
    </w:rPr>
  </w:style>
  <w:style w:type="character" w:customStyle="1" w:styleId="30">
    <w:name w:val="Заголовок 3 Знак"/>
    <w:basedOn w:val="a4"/>
    <w:link w:val="3"/>
    <w:uiPriority w:val="1"/>
    <w:semiHidden/>
    <w:rsid w:val="00BE571F"/>
    <w:rPr>
      <w:rFonts w:ascii="Times New Roman" w:eastAsia="SimSun" w:hAnsi="Times New Roman" w:cs="Times New Roman"/>
      <w:i/>
      <w:iCs/>
      <w:noProof/>
      <w:kern w:val="0"/>
      <w:sz w:val="20"/>
      <w:szCs w:val="20"/>
      <w14:ligatures w14:val="none"/>
    </w:rPr>
  </w:style>
  <w:style w:type="character" w:customStyle="1" w:styleId="40">
    <w:name w:val="Заголовок 4 Знак"/>
    <w:basedOn w:val="a4"/>
    <w:link w:val="4"/>
    <w:uiPriority w:val="1"/>
    <w:semiHidden/>
    <w:rsid w:val="00BE571F"/>
    <w:rPr>
      <w:rFonts w:ascii="Times New Roman" w:eastAsia="SimSun" w:hAnsi="Times New Roman" w:cs="Times New Roman"/>
      <w:i/>
      <w:iCs/>
      <w:noProof/>
      <w:kern w:val="0"/>
      <w:sz w:val="20"/>
      <w:szCs w:val="20"/>
      <w14:ligatures w14:val="none"/>
    </w:rPr>
  </w:style>
  <w:style w:type="character" w:customStyle="1" w:styleId="50">
    <w:name w:val="Заголовок 5 Знак"/>
    <w:basedOn w:val="a4"/>
    <w:link w:val="5"/>
    <w:rsid w:val="00BE571F"/>
    <w:rPr>
      <w:rFonts w:ascii="Times New Roman" w:eastAsia="SimSun" w:hAnsi="Times New Roman" w:cs="Times New Roman"/>
      <w:smallCaps/>
      <w:noProof/>
      <w:kern w:val="0"/>
      <w:sz w:val="20"/>
      <w:szCs w:val="20"/>
      <w14:ligatures w14:val="none"/>
    </w:rPr>
  </w:style>
  <w:style w:type="character" w:customStyle="1" w:styleId="60">
    <w:name w:val="Заголовок 6 Знак"/>
    <w:basedOn w:val="a4"/>
    <w:link w:val="6"/>
    <w:uiPriority w:val="9"/>
    <w:semiHidden/>
    <w:rsid w:val="00BE571F"/>
    <w:rPr>
      <w:rFonts w:ascii="Times New Roman" w:eastAsiaTheme="majorEastAsia" w:hAnsi="Times New Roman" w:cstheme="majorBidi"/>
      <w:i/>
      <w:iCs/>
      <w:color w:val="000000" w:themeColor="text1"/>
      <w:kern w:val="0"/>
      <w:sz w:val="20"/>
      <w:szCs w:val="20"/>
      <w14:ligatures w14:val="none"/>
    </w:rPr>
  </w:style>
  <w:style w:type="character" w:customStyle="1" w:styleId="70">
    <w:name w:val="Заголовок 7 Знак"/>
    <w:basedOn w:val="a4"/>
    <w:link w:val="7"/>
    <w:uiPriority w:val="9"/>
    <w:semiHidden/>
    <w:rsid w:val="001A06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4"/>
    <w:link w:val="8"/>
    <w:uiPriority w:val="9"/>
    <w:semiHidden/>
    <w:rsid w:val="001A06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4"/>
    <w:link w:val="9"/>
    <w:uiPriority w:val="9"/>
    <w:semiHidden/>
    <w:rsid w:val="001A06D0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2"/>
    <w:next w:val="a2"/>
    <w:link w:val="a8"/>
    <w:qFormat/>
    <w:rsid w:val="00BE571F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BE571F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14:ligatures w14:val="none"/>
    </w:rPr>
  </w:style>
  <w:style w:type="paragraph" w:styleId="a9">
    <w:name w:val="Subtitle"/>
    <w:basedOn w:val="a2"/>
    <w:next w:val="a2"/>
    <w:link w:val="aa"/>
    <w:uiPriority w:val="11"/>
    <w:qFormat/>
    <w:rsid w:val="001A0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4"/>
    <w:link w:val="a9"/>
    <w:uiPriority w:val="11"/>
    <w:rsid w:val="001A0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2"/>
    <w:next w:val="a2"/>
    <w:link w:val="22"/>
    <w:uiPriority w:val="29"/>
    <w:qFormat/>
    <w:rsid w:val="001A0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4"/>
    <w:link w:val="21"/>
    <w:uiPriority w:val="29"/>
    <w:rsid w:val="001A06D0"/>
    <w:rPr>
      <w:i/>
      <w:iCs/>
      <w:color w:val="404040" w:themeColor="text1" w:themeTint="BF"/>
    </w:rPr>
  </w:style>
  <w:style w:type="paragraph" w:styleId="ab">
    <w:name w:val="List Paragraph"/>
    <w:basedOn w:val="a2"/>
    <w:uiPriority w:val="34"/>
    <w:qFormat/>
    <w:rsid w:val="001A06D0"/>
    <w:pPr>
      <w:ind w:left="720"/>
      <w:contextualSpacing/>
    </w:pPr>
  </w:style>
  <w:style w:type="character" w:styleId="ac">
    <w:name w:val="Intense Emphasis"/>
    <w:basedOn w:val="a4"/>
    <w:uiPriority w:val="21"/>
    <w:qFormat/>
    <w:rsid w:val="001A06D0"/>
    <w:rPr>
      <w:i/>
      <w:iCs/>
      <w:color w:val="0F4761" w:themeColor="accent1" w:themeShade="BF"/>
    </w:rPr>
  </w:style>
  <w:style w:type="paragraph" w:styleId="ad">
    <w:name w:val="Intense Quote"/>
    <w:basedOn w:val="a2"/>
    <w:next w:val="a2"/>
    <w:link w:val="ae"/>
    <w:uiPriority w:val="30"/>
    <w:qFormat/>
    <w:rsid w:val="001A0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Выделенная цитата Знак"/>
    <w:basedOn w:val="a4"/>
    <w:link w:val="ad"/>
    <w:uiPriority w:val="30"/>
    <w:rsid w:val="001A06D0"/>
    <w:rPr>
      <w:i/>
      <w:iCs/>
      <w:color w:val="0F4761" w:themeColor="accent1" w:themeShade="BF"/>
    </w:rPr>
  </w:style>
  <w:style w:type="character" w:styleId="af">
    <w:name w:val="Intense Reference"/>
    <w:basedOn w:val="a4"/>
    <w:uiPriority w:val="32"/>
    <w:qFormat/>
    <w:rsid w:val="001A06D0"/>
    <w:rPr>
      <w:b/>
      <w:bCs/>
      <w:smallCaps/>
      <w:color w:val="0F4761" w:themeColor="accent1" w:themeShade="BF"/>
      <w:spacing w:val="5"/>
    </w:rPr>
  </w:style>
  <w:style w:type="paragraph" w:customStyle="1" w:styleId="Author">
    <w:name w:val="Author"/>
    <w:rsid w:val="004A5526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kern w:val="0"/>
      <w:sz w:val="22"/>
      <w:szCs w:val="22"/>
      <w:lang w:val="en-US"/>
      <w14:ligatures w14:val="none"/>
    </w:rPr>
  </w:style>
  <w:style w:type="character" w:styleId="af0">
    <w:name w:val="Hyperlink"/>
    <w:basedOn w:val="a4"/>
    <w:rsid w:val="004A5526"/>
    <w:rPr>
      <w:color w:val="467886" w:themeColor="hyperlink"/>
      <w:u w:val="single"/>
    </w:rPr>
  </w:style>
  <w:style w:type="character" w:customStyle="1" w:styleId="UnresolvedMention">
    <w:name w:val="Unresolved Mention"/>
    <w:basedOn w:val="a4"/>
    <w:uiPriority w:val="99"/>
    <w:semiHidden/>
    <w:unhideWhenUsed/>
    <w:rsid w:val="004A5526"/>
    <w:rPr>
      <w:color w:val="605E5C"/>
      <w:shd w:val="clear" w:color="auto" w:fill="E1DFDD"/>
    </w:rPr>
  </w:style>
  <w:style w:type="character" w:styleId="af1">
    <w:name w:val="FollowedHyperlink"/>
    <w:basedOn w:val="a4"/>
    <w:uiPriority w:val="99"/>
    <w:semiHidden/>
    <w:unhideWhenUsed/>
    <w:rsid w:val="00CA381A"/>
    <w:rPr>
      <w:color w:val="96607D" w:themeColor="followedHyperlink"/>
      <w:u w:val="single"/>
    </w:rPr>
  </w:style>
  <w:style w:type="paragraph" w:styleId="af2">
    <w:name w:val="footnote text"/>
    <w:basedOn w:val="a2"/>
    <w:link w:val="af3"/>
    <w:uiPriority w:val="99"/>
    <w:semiHidden/>
    <w:unhideWhenUsed/>
    <w:rsid w:val="0041258C"/>
  </w:style>
  <w:style w:type="character" w:customStyle="1" w:styleId="af3">
    <w:name w:val="Текст сноски Знак"/>
    <w:basedOn w:val="a4"/>
    <w:link w:val="af2"/>
    <w:uiPriority w:val="99"/>
    <w:semiHidden/>
    <w:rsid w:val="0041258C"/>
    <w:rPr>
      <w:sz w:val="20"/>
      <w:szCs w:val="20"/>
    </w:rPr>
  </w:style>
  <w:style w:type="character" w:styleId="af4">
    <w:name w:val="footnote reference"/>
    <w:basedOn w:val="a4"/>
    <w:uiPriority w:val="99"/>
    <w:semiHidden/>
    <w:unhideWhenUsed/>
    <w:rsid w:val="0041258C"/>
    <w:rPr>
      <w:vertAlign w:val="superscript"/>
    </w:rPr>
  </w:style>
  <w:style w:type="paragraph" w:styleId="af5">
    <w:name w:val="endnote text"/>
    <w:basedOn w:val="a2"/>
    <w:link w:val="af6"/>
    <w:uiPriority w:val="99"/>
    <w:semiHidden/>
    <w:unhideWhenUsed/>
    <w:rsid w:val="0041258C"/>
  </w:style>
  <w:style w:type="character" w:customStyle="1" w:styleId="af6">
    <w:name w:val="Текст концевой сноски Знак"/>
    <w:basedOn w:val="a4"/>
    <w:link w:val="af5"/>
    <w:uiPriority w:val="99"/>
    <w:semiHidden/>
    <w:rsid w:val="0041258C"/>
    <w:rPr>
      <w:sz w:val="20"/>
      <w:szCs w:val="20"/>
    </w:rPr>
  </w:style>
  <w:style w:type="character" w:styleId="af7">
    <w:name w:val="endnote reference"/>
    <w:basedOn w:val="a4"/>
    <w:uiPriority w:val="99"/>
    <w:semiHidden/>
    <w:unhideWhenUsed/>
    <w:rsid w:val="0041258C"/>
    <w:rPr>
      <w:vertAlign w:val="superscript"/>
    </w:rPr>
  </w:style>
  <w:style w:type="table" w:styleId="af8">
    <w:name w:val="Table Grid"/>
    <w:basedOn w:val="a5"/>
    <w:uiPriority w:val="59"/>
    <w:rsid w:val="00BE571F"/>
    <w:pPr>
      <w:spacing w:after="0" w:line="240" w:lineRule="auto"/>
    </w:pPr>
    <w:rPr>
      <w:rFonts w:eastAsia="Times New Roman"/>
      <w:kern w:val="0"/>
      <w:sz w:val="22"/>
      <w:szCs w:val="22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Авторы"/>
    <w:basedOn w:val="a2"/>
    <w:next w:val="a2"/>
    <w:qFormat/>
    <w:rsid w:val="00BE571F"/>
    <w:pPr>
      <w:spacing w:before="240" w:after="80"/>
      <w:jc w:val="center"/>
    </w:pPr>
    <w:rPr>
      <w:sz w:val="24"/>
    </w:rPr>
  </w:style>
  <w:style w:type="paragraph" w:customStyle="1" w:styleId="afa">
    <w:name w:val="Организация"/>
    <w:basedOn w:val="a2"/>
    <w:qFormat/>
    <w:rsid w:val="00BE571F"/>
    <w:pPr>
      <w:spacing w:after="80"/>
      <w:jc w:val="center"/>
    </w:pPr>
    <w:rPr>
      <w:i/>
      <w:sz w:val="22"/>
    </w:rPr>
  </w:style>
  <w:style w:type="paragraph" w:customStyle="1" w:styleId="afb">
    <w:name w:val="Аннотация"/>
    <w:basedOn w:val="afa"/>
    <w:qFormat/>
    <w:rsid w:val="00BE571F"/>
    <w:pPr>
      <w:ind w:firstLine="289"/>
      <w:jc w:val="both"/>
    </w:pPr>
    <w:rPr>
      <w:b/>
      <w:i w:val="0"/>
      <w:sz w:val="18"/>
    </w:rPr>
  </w:style>
  <w:style w:type="paragraph" w:styleId="a3">
    <w:name w:val="Body Text"/>
    <w:basedOn w:val="a2"/>
    <w:link w:val="afc"/>
    <w:rsid w:val="00BE571F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fc">
    <w:name w:val="Основной текст Знак"/>
    <w:link w:val="a3"/>
    <w:rsid w:val="00BE571F"/>
    <w:rPr>
      <w:rFonts w:ascii="Times New Roman" w:eastAsia="MS Mincho" w:hAnsi="Times New Roman" w:cs="Times New Roman"/>
      <w:spacing w:val="-1"/>
      <w:kern w:val="0"/>
      <w:sz w:val="20"/>
      <w:szCs w:val="20"/>
      <w14:ligatures w14:val="none"/>
    </w:rPr>
  </w:style>
  <w:style w:type="paragraph" w:customStyle="1" w:styleId="afd">
    <w:name w:val="Ключевые слова"/>
    <w:basedOn w:val="a2"/>
    <w:next w:val="1"/>
    <w:qFormat/>
    <w:rsid w:val="00BE571F"/>
    <w:pPr>
      <w:spacing w:after="200"/>
      <w:ind w:firstLine="289"/>
      <w:jc w:val="both"/>
    </w:pPr>
    <w:rPr>
      <w:b/>
      <w:i/>
      <w:sz w:val="18"/>
    </w:rPr>
  </w:style>
  <w:style w:type="paragraph" w:customStyle="1" w:styleId="afe">
    <w:name w:val="Мэйл"/>
    <w:basedOn w:val="a2"/>
    <w:qFormat/>
    <w:rsid w:val="00BE571F"/>
    <w:pPr>
      <w:spacing w:after="120"/>
      <w:jc w:val="center"/>
    </w:pPr>
    <w:rPr>
      <w:sz w:val="22"/>
      <w:lang w:val="en-US"/>
    </w:rPr>
  </w:style>
  <w:style w:type="paragraph" w:customStyle="1" w:styleId="a">
    <w:name w:val="Название рисунка"/>
    <w:basedOn w:val="a2"/>
    <w:qFormat/>
    <w:rsid w:val="00BE571F"/>
    <w:pPr>
      <w:numPr>
        <w:numId w:val="6"/>
      </w:numPr>
      <w:tabs>
        <w:tab w:val="left" w:pos="289"/>
      </w:tabs>
      <w:spacing w:before="120" w:after="200"/>
    </w:pPr>
    <w:rPr>
      <w:sz w:val="16"/>
    </w:rPr>
  </w:style>
  <w:style w:type="paragraph" w:styleId="a0">
    <w:name w:val="Bibliography"/>
    <w:basedOn w:val="a3"/>
    <w:next w:val="a2"/>
    <w:qFormat/>
    <w:rsid w:val="00BE571F"/>
    <w:pPr>
      <w:numPr>
        <w:numId w:val="7"/>
      </w:numPr>
      <w:tabs>
        <w:tab w:val="clear" w:pos="288"/>
      </w:tabs>
      <w:spacing w:after="50" w:line="180" w:lineRule="exact"/>
      <w:ind w:left="357" w:hanging="357"/>
    </w:pPr>
    <w:rPr>
      <w:spacing w:val="0"/>
      <w:sz w:val="16"/>
    </w:rPr>
  </w:style>
  <w:style w:type="paragraph" w:customStyle="1" w:styleId="-">
    <w:name w:val="Список-перечень"/>
    <w:basedOn w:val="a3"/>
    <w:next w:val="a3"/>
    <w:qFormat/>
    <w:rsid w:val="00BE571F"/>
    <w:pPr>
      <w:numPr>
        <w:numId w:val="8"/>
      </w:numPr>
      <w:spacing w:after="60"/>
    </w:pPr>
  </w:style>
  <w:style w:type="paragraph" w:customStyle="1" w:styleId="aff">
    <w:name w:val="Строка таблицы"/>
    <w:basedOn w:val="a2"/>
    <w:qFormat/>
    <w:rsid w:val="00BE571F"/>
    <w:pPr>
      <w:tabs>
        <w:tab w:val="left" w:pos="1021"/>
      </w:tabs>
    </w:pPr>
    <w:rPr>
      <w:sz w:val="16"/>
    </w:rPr>
  </w:style>
  <w:style w:type="paragraph" w:customStyle="1" w:styleId="a1">
    <w:name w:val="Таблица"/>
    <w:basedOn w:val="a2"/>
    <w:next w:val="a2"/>
    <w:qFormat/>
    <w:rsid w:val="00BE571F"/>
    <w:pPr>
      <w:numPr>
        <w:numId w:val="9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paragraph" w:customStyle="1" w:styleId="aff0">
    <w:name w:val="Финансирование"/>
    <w:basedOn w:val="a2"/>
    <w:qFormat/>
    <w:rsid w:val="00BE571F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BE57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2"/>
    <w:next w:val="a3"/>
    <w:link w:val="10"/>
    <w:qFormat/>
    <w:rsid w:val="00BE571F"/>
    <w:pPr>
      <w:keepNext/>
      <w:keepLines/>
      <w:numPr>
        <w:numId w:val="5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E571F"/>
    <w:pPr>
      <w:keepNext/>
      <w:keepLines/>
      <w:numPr>
        <w:ilvl w:val="1"/>
        <w:numId w:val="5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BE571F"/>
    <w:pPr>
      <w:numPr>
        <w:ilvl w:val="2"/>
        <w:numId w:val="5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BE571F"/>
    <w:pPr>
      <w:numPr>
        <w:ilvl w:val="3"/>
        <w:numId w:val="5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BE571F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BE571F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1A06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1A06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1A06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4">
    <w:name w:val="Default Paragraph Font"/>
    <w:uiPriority w:val="1"/>
    <w:semiHidden/>
    <w:unhideWhenUsed/>
    <w:rsid w:val="00BE571F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BE571F"/>
  </w:style>
  <w:style w:type="character" w:customStyle="1" w:styleId="10">
    <w:name w:val="Заголовок 1 Знак"/>
    <w:link w:val="1"/>
    <w:rsid w:val="00BE571F"/>
    <w:rPr>
      <w:rFonts w:ascii="Times New Roman" w:eastAsia="SimSun" w:hAnsi="Times New Roman" w:cs="Times New Roman"/>
      <w:smallCaps/>
      <w:noProof/>
      <w:kern w:val="0"/>
      <w:sz w:val="20"/>
      <w:szCs w:val="20"/>
      <w14:ligatures w14:val="none"/>
    </w:rPr>
  </w:style>
  <w:style w:type="character" w:customStyle="1" w:styleId="20">
    <w:name w:val="Заголовок 2 Знак"/>
    <w:basedOn w:val="a4"/>
    <w:link w:val="2"/>
    <w:rsid w:val="00BE571F"/>
    <w:rPr>
      <w:rFonts w:ascii="Times New Roman" w:eastAsia="SimSun" w:hAnsi="Times New Roman" w:cs="Times New Roman"/>
      <w:i/>
      <w:iCs/>
      <w:noProof/>
      <w:kern w:val="0"/>
      <w:sz w:val="20"/>
      <w:szCs w:val="20"/>
      <w14:ligatures w14:val="none"/>
    </w:rPr>
  </w:style>
  <w:style w:type="character" w:customStyle="1" w:styleId="30">
    <w:name w:val="Заголовок 3 Знак"/>
    <w:basedOn w:val="a4"/>
    <w:link w:val="3"/>
    <w:uiPriority w:val="1"/>
    <w:semiHidden/>
    <w:rsid w:val="00BE571F"/>
    <w:rPr>
      <w:rFonts w:ascii="Times New Roman" w:eastAsia="SimSun" w:hAnsi="Times New Roman" w:cs="Times New Roman"/>
      <w:i/>
      <w:iCs/>
      <w:noProof/>
      <w:kern w:val="0"/>
      <w:sz w:val="20"/>
      <w:szCs w:val="20"/>
      <w14:ligatures w14:val="none"/>
    </w:rPr>
  </w:style>
  <w:style w:type="character" w:customStyle="1" w:styleId="40">
    <w:name w:val="Заголовок 4 Знак"/>
    <w:basedOn w:val="a4"/>
    <w:link w:val="4"/>
    <w:uiPriority w:val="1"/>
    <w:semiHidden/>
    <w:rsid w:val="00BE571F"/>
    <w:rPr>
      <w:rFonts w:ascii="Times New Roman" w:eastAsia="SimSun" w:hAnsi="Times New Roman" w:cs="Times New Roman"/>
      <w:i/>
      <w:iCs/>
      <w:noProof/>
      <w:kern w:val="0"/>
      <w:sz w:val="20"/>
      <w:szCs w:val="20"/>
      <w14:ligatures w14:val="none"/>
    </w:rPr>
  </w:style>
  <w:style w:type="character" w:customStyle="1" w:styleId="50">
    <w:name w:val="Заголовок 5 Знак"/>
    <w:basedOn w:val="a4"/>
    <w:link w:val="5"/>
    <w:rsid w:val="00BE571F"/>
    <w:rPr>
      <w:rFonts w:ascii="Times New Roman" w:eastAsia="SimSun" w:hAnsi="Times New Roman" w:cs="Times New Roman"/>
      <w:smallCaps/>
      <w:noProof/>
      <w:kern w:val="0"/>
      <w:sz w:val="20"/>
      <w:szCs w:val="20"/>
      <w14:ligatures w14:val="none"/>
    </w:rPr>
  </w:style>
  <w:style w:type="character" w:customStyle="1" w:styleId="60">
    <w:name w:val="Заголовок 6 Знак"/>
    <w:basedOn w:val="a4"/>
    <w:link w:val="6"/>
    <w:uiPriority w:val="9"/>
    <w:semiHidden/>
    <w:rsid w:val="00BE571F"/>
    <w:rPr>
      <w:rFonts w:ascii="Times New Roman" w:eastAsiaTheme="majorEastAsia" w:hAnsi="Times New Roman" w:cstheme="majorBidi"/>
      <w:i/>
      <w:iCs/>
      <w:color w:val="000000" w:themeColor="text1"/>
      <w:kern w:val="0"/>
      <w:sz w:val="20"/>
      <w:szCs w:val="20"/>
      <w14:ligatures w14:val="none"/>
    </w:rPr>
  </w:style>
  <w:style w:type="character" w:customStyle="1" w:styleId="70">
    <w:name w:val="Заголовок 7 Знак"/>
    <w:basedOn w:val="a4"/>
    <w:link w:val="7"/>
    <w:uiPriority w:val="9"/>
    <w:semiHidden/>
    <w:rsid w:val="001A06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4"/>
    <w:link w:val="8"/>
    <w:uiPriority w:val="9"/>
    <w:semiHidden/>
    <w:rsid w:val="001A06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4"/>
    <w:link w:val="9"/>
    <w:uiPriority w:val="9"/>
    <w:semiHidden/>
    <w:rsid w:val="001A06D0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2"/>
    <w:next w:val="a2"/>
    <w:link w:val="a8"/>
    <w:qFormat/>
    <w:rsid w:val="00BE571F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BE571F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14:ligatures w14:val="none"/>
    </w:rPr>
  </w:style>
  <w:style w:type="paragraph" w:styleId="a9">
    <w:name w:val="Subtitle"/>
    <w:basedOn w:val="a2"/>
    <w:next w:val="a2"/>
    <w:link w:val="aa"/>
    <w:uiPriority w:val="11"/>
    <w:qFormat/>
    <w:rsid w:val="001A0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4"/>
    <w:link w:val="a9"/>
    <w:uiPriority w:val="11"/>
    <w:rsid w:val="001A0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2"/>
    <w:next w:val="a2"/>
    <w:link w:val="22"/>
    <w:uiPriority w:val="29"/>
    <w:qFormat/>
    <w:rsid w:val="001A0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4"/>
    <w:link w:val="21"/>
    <w:uiPriority w:val="29"/>
    <w:rsid w:val="001A06D0"/>
    <w:rPr>
      <w:i/>
      <w:iCs/>
      <w:color w:val="404040" w:themeColor="text1" w:themeTint="BF"/>
    </w:rPr>
  </w:style>
  <w:style w:type="paragraph" w:styleId="ab">
    <w:name w:val="List Paragraph"/>
    <w:basedOn w:val="a2"/>
    <w:uiPriority w:val="34"/>
    <w:qFormat/>
    <w:rsid w:val="001A06D0"/>
    <w:pPr>
      <w:ind w:left="720"/>
      <w:contextualSpacing/>
    </w:pPr>
  </w:style>
  <w:style w:type="character" w:styleId="ac">
    <w:name w:val="Intense Emphasis"/>
    <w:basedOn w:val="a4"/>
    <w:uiPriority w:val="21"/>
    <w:qFormat/>
    <w:rsid w:val="001A06D0"/>
    <w:rPr>
      <w:i/>
      <w:iCs/>
      <w:color w:val="0F4761" w:themeColor="accent1" w:themeShade="BF"/>
    </w:rPr>
  </w:style>
  <w:style w:type="paragraph" w:styleId="ad">
    <w:name w:val="Intense Quote"/>
    <w:basedOn w:val="a2"/>
    <w:next w:val="a2"/>
    <w:link w:val="ae"/>
    <w:uiPriority w:val="30"/>
    <w:qFormat/>
    <w:rsid w:val="001A0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Выделенная цитата Знак"/>
    <w:basedOn w:val="a4"/>
    <w:link w:val="ad"/>
    <w:uiPriority w:val="30"/>
    <w:rsid w:val="001A06D0"/>
    <w:rPr>
      <w:i/>
      <w:iCs/>
      <w:color w:val="0F4761" w:themeColor="accent1" w:themeShade="BF"/>
    </w:rPr>
  </w:style>
  <w:style w:type="character" w:styleId="af">
    <w:name w:val="Intense Reference"/>
    <w:basedOn w:val="a4"/>
    <w:uiPriority w:val="32"/>
    <w:qFormat/>
    <w:rsid w:val="001A06D0"/>
    <w:rPr>
      <w:b/>
      <w:bCs/>
      <w:smallCaps/>
      <w:color w:val="0F4761" w:themeColor="accent1" w:themeShade="BF"/>
      <w:spacing w:val="5"/>
    </w:rPr>
  </w:style>
  <w:style w:type="paragraph" w:customStyle="1" w:styleId="Author">
    <w:name w:val="Author"/>
    <w:rsid w:val="004A5526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kern w:val="0"/>
      <w:sz w:val="22"/>
      <w:szCs w:val="22"/>
      <w:lang w:val="en-US"/>
      <w14:ligatures w14:val="none"/>
    </w:rPr>
  </w:style>
  <w:style w:type="character" w:styleId="af0">
    <w:name w:val="Hyperlink"/>
    <w:basedOn w:val="a4"/>
    <w:rsid w:val="004A5526"/>
    <w:rPr>
      <w:color w:val="467886" w:themeColor="hyperlink"/>
      <w:u w:val="single"/>
    </w:rPr>
  </w:style>
  <w:style w:type="character" w:customStyle="1" w:styleId="UnresolvedMention">
    <w:name w:val="Unresolved Mention"/>
    <w:basedOn w:val="a4"/>
    <w:uiPriority w:val="99"/>
    <w:semiHidden/>
    <w:unhideWhenUsed/>
    <w:rsid w:val="004A5526"/>
    <w:rPr>
      <w:color w:val="605E5C"/>
      <w:shd w:val="clear" w:color="auto" w:fill="E1DFDD"/>
    </w:rPr>
  </w:style>
  <w:style w:type="character" w:styleId="af1">
    <w:name w:val="FollowedHyperlink"/>
    <w:basedOn w:val="a4"/>
    <w:uiPriority w:val="99"/>
    <w:semiHidden/>
    <w:unhideWhenUsed/>
    <w:rsid w:val="00CA381A"/>
    <w:rPr>
      <w:color w:val="96607D" w:themeColor="followedHyperlink"/>
      <w:u w:val="single"/>
    </w:rPr>
  </w:style>
  <w:style w:type="paragraph" w:styleId="af2">
    <w:name w:val="footnote text"/>
    <w:basedOn w:val="a2"/>
    <w:link w:val="af3"/>
    <w:uiPriority w:val="99"/>
    <w:semiHidden/>
    <w:unhideWhenUsed/>
    <w:rsid w:val="0041258C"/>
  </w:style>
  <w:style w:type="character" w:customStyle="1" w:styleId="af3">
    <w:name w:val="Текст сноски Знак"/>
    <w:basedOn w:val="a4"/>
    <w:link w:val="af2"/>
    <w:uiPriority w:val="99"/>
    <w:semiHidden/>
    <w:rsid w:val="0041258C"/>
    <w:rPr>
      <w:sz w:val="20"/>
      <w:szCs w:val="20"/>
    </w:rPr>
  </w:style>
  <w:style w:type="character" w:styleId="af4">
    <w:name w:val="footnote reference"/>
    <w:basedOn w:val="a4"/>
    <w:uiPriority w:val="99"/>
    <w:semiHidden/>
    <w:unhideWhenUsed/>
    <w:rsid w:val="0041258C"/>
    <w:rPr>
      <w:vertAlign w:val="superscript"/>
    </w:rPr>
  </w:style>
  <w:style w:type="paragraph" w:styleId="af5">
    <w:name w:val="endnote text"/>
    <w:basedOn w:val="a2"/>
    <w:link w:val="af6"/>
    <w:uiPriority w:val="99"/>
    <w:semiHidden/>
    <w:unhideWhenUsed/>
    <w:rsid w:val="0041258C"/>
  </w:style>
  <w:style w:type="character" w:customStyle="1" w:styleId="af6">
    <w:name w:val="Текст концевой сноски Знак"/>
    <w:basedOn w:val="a4"/>
    <w:link w:val="af5"/>
    <w:uiPriority w:val="99"/>
    <w:semiHidden/>
    <w:rsid w:val="0041258C"/>
    <w:rPr>
      <w:sz w:val="20"/>
      <w:szCs w:val="20"/>
    </w:rPr>
  </w:style>
  <w:style w:type="character" w:styleId="af7">
    <w:name w:val="endnote reference"/>
    <w:basedOn w:val="a4"/>
    <w:uiPriority w:val="99"/>
    <w:semiHidden/>
    <w:unhideWhenUsed/>
    <w:rsid w:val="0041258C"/>
    <w:rPr>
      <w:vertAlign w:val="superscript"/>
    </w:rPr>
  </w:style>
  <w:style w:type="table" w:styleId="af8">
    <w:name w:val="Table Grid"/>
    <w:basedOn w:val="a5"/>
    <w:uiPriority w:val="59"/>
    <w:rsid w:val="00BE571F"/>
    <w:pPr>
      <w:spacing w:after="0" w:line="240" w:lineRule="auto"/>
    </w:pPr>
    <w:rPr>
      <w:rFonts w:eastAsia="Times New Roman"/>
      <w:kern w:val="0"/>
      <w:sz w:val="22"/>
      <w:szCs w:val="22"/>
      <w:lang w:eastAsia="zh-C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Авторы"/>
    <w:basedOn w:val="a2"/>
    <w:next w:val="a2"/>
    <w:qFormat/>
    <w:rsid w:val="00BE571F"/>
    <w:pPr>
      <w:spacing w:before="240" w:after="80"/>
      <w:jc w:val="center"/>
    </w:pPr>
    <w:rPr>
      <w:sz w:val="24"/>
    </w:rPr>
  </w:style>
  <w:style w:type="paragraph" w:customStyle="1" w:styleId="afa">
    <w:name w:val="Организация"/>
    <w:basedOn w:val="a2"/>
    <w:qFormat/>
    <w:rsid w:val="00BE571F"/>
    <w:pPr>
      <w:spacing w:after="80"/>
      <w:jc w:val="center"/>
    </w:pPr>
    <w:rPr>
      <w:i/>
      <w:sz w:val="22"/>
    </w:rPr>
  </w:style>
  <w:style w:type="paragraph" w:customStyle="1" w:styleId="afb">
    <w:name w:val="Аннотация"/>
    <w:basedOn w:val="afa"/>
    <w:qFormat/>
    <w:rsid w:val="00BE571F"/>
    <w:pPr>
      <w:ind w:firstLine="289"/>
      <w:jc w:val="both"/>
    </w:pPr>
    <w:rPr>
      <w:b/>
      <w:i w:val="0"/>
      <w:sz w:val="18"/>
    </w:rPr>
  </w:style>
  <w:style w:type="paragraph" w:styleId="a3">
    <w:name w:val="Body Text"/>
    <w:basedOn w:val="a2"/>
    <w:link w:val="afc"/>
    <w:rsid w:val="00BE571F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fc">
    <w:name w:val="Основной текст Знак"/>
    <w:link w:val="a3"/>
    <w:rsid w:val="00BE571F"/>
    <w:rPr>
      <w:rFonts w:ascii="Times New Roman" w:eastAsia="MS Mincho" w:hAnsi="Times New Roman" w:cs="Times New Roman"/>
      <w:spacing w:val="-1"/>
      <w:kern w:val="0"/>
      <w:sz w:val="20"/>
      <w:szCs w:val="20"/>
      <w14:ligatures w14:val="none"/>
    </w:rPr>
  </w:style>
  <w:style w:type="paragraph" w:customStyle="1" w:styleId="afd">
    <w:name w:val="Ключевые слова"/>
    <w:basedOn w:val="a2"/>
    <w:next w:val="1"/>
    <w:qFormat/>
    <w:rsid w:val="00BE571F"/>
    <w:pPr>
      <w:spacing w:after="200"/>
      <w:ind w:firstLine="289"/>
      <w:jc w:val="both"/>
    </w:pPr>
    <w:rPr>
      <w:b/>
      <w:i/>
      <w:sz w:val="18"/>
    </w:rPr>
  </w:style>
  <w:style w:type="paragraph" w:customStyle="1" w:styleId="afe">
    <w:name w:val="Мэйл"/>
    <w:basedOn w:val="a2"/>
    <w:qFormat/>
    <w:rsid w:val="00BE571F"/>
    <w:pPr>
      <w:spacing w:after="120"/>
      <w:jc w:val="center"/>
    </w:pPr>
    <w:rPr>
      <w:sz w:val="22"/>
      <w:lang w:val="en-US"/>
    </w:rPr>
  </w:style>
  <w:style w:type="paragraph" w:customStyle="1" w:styleId="a">
    <w:name w:val="Название рисунка"/>
    <w:basedOn w:val="a2"/>
    <w:qFormat/>
    <w:rsid w:val="00BE571F"/>
    <w:pPr>
      <w:numPr>
        <w:numId w:val="6"/>
      </w:numPr>
      <w:tabs>
        <w:tab w:val="left" w:pos="289"/>
      </w:tabs>
      <w:spacing w:before="120" w:after="200"/>
    </w:pPr>
    <w:rPr>
      <w:sz w:val="16"/>
    </w:rPr>
  </w:style>
  <w:style w:type="paragraph" w:styleId="a0">
    <w:name w:val="Bibliography"/>
    <w:basedOn w:val="a3"/>
    <w:next w:val="a2"/>
    <w:qFormat/>
    <w:rsid w:val="00BE571F"/>
    <w:pPr>
      <w:numPr>
        <w:numId w:val="7"/>
      </w:numPr>
      <w:tabs>
        <w:tab w:val="clear" w:pos="288"/>
      </w:tabs>
      <w:spacing w:after="50" w:line="180" w:lineRule="exact"/>
      <w:ind w:left="357" w:hanging="357"/>
    </w:pPr>
    <w:rPr>
      <w:spacing w:val="0"/>
      <w:sz w:val="16"/>
    </w:rPr>
  </w:style>
  <w:style w:type="paragraph" w:customStyle="1" w:styleId="-">
    <w:name w:val="Список-перечень"/>
    <w:basedOn w:val="a3"/>
    <w:next w:val="a3"/>
    <w:qFormat/>
    <w:rsid w:val="00BE571F"/>
    <w:pPr>
      <w:numPr>
        <w:numId w:val="8"/>
      </w:numPr>
      <w:spacing w:after="60"/>
    </w:pPr>
  </w:style>
  <w:style w:type="paragraph" w:customStyle="1" w:styleId="aff">
    <w:name w:val="Строка таблицы"/>
    <w:basedOn w:val="a2"/>
    <w:qFormat/>
    <w:rsid w:val="00BE571F"/>
    <w:pPr>
      <w:tabs>
        <w:tab w:val="left" w:pos="1021"/>
      </w:tabs>
    </w:pPr>
    <w:rPr>
      <w:sz w:val="16"/>
    </w:rPr>
  </w:style>
  <w:style w:type="paragraph" w:customStyle="1" w:styleId="a1">
    <w:name w:val="Таблица"/>
    <w:basedOn w:val="a2"/>
    <w:next w:val="a2"/>
    <w:qFormat/>
    <w:rsid w:val="00BE571F"/>
    <w:pPr>
      <w:numPr>
        <w:numId w:val="9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paragraph" w:customStyle="1" w:styleId="aff0">
    <w:name w:val="Финансирование"/>
    <w:basedOn w:val="a2"/>
    <w:qFormat/>
    <w:rsid w:val="00BE571F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ithub.com/lebedeffson/deep-neuro-fuzzy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F35E2-9997-4100-9202-648D8995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Михаил Дмитриевич</dc:creator>
  <cp:lastModifiedBy>Ri</cp:lastModifiedBy>
  <cp:revision>2</cp:revision>
  <dcterms:created xsi:type="dcterms:W3CDTF">2026-04-22T08:18:00Z</dcterms:created>
  <dcterms:modified xsi:type="dcterms:W3CDTF">2026-04-22T08:18:00Z</dcterms:modified>
</cp:coreProperties>
</file>