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8E852" w14:textId="77777777" w:rsidR="008B5461" w:rsidRDefault="005C28A4" w:rsidP="00A2326C">
      <w:pPr>
        <w:pStyle w:val="a4"/>
      </w:pPr>
      <w:r>
        <w:t>Динамическое управление стратегиями рассуждения в больших языковых моделях</w:t>
      </w:r>
    </w:p>
    <w:p w14:paraId="7D85778A" w14:textId="77777777" w:rsidR="008B5461" w:rsidRDefault="008B5461">
      <w:pPr>
        <w:sectPr w:rsidR="008B5461">
          <w:pgSz w:w="11906" w:h="16838"/>
          <w:pgMar w:top="907" w:right="907" w:bottom="1440" w:left="907" w:header="709" w:footer="709" w:gutter="0"/>
          <w:pgNumType w:start="1"/>
          <w:cols w:space="720"/>
        </w:sectPr>
      </w:pPr>
    </w:p>
    <w:p w14:paraId="0447DCC0" w14:textId="77777777" w:rsidR="008B5461" w:rsidRDefault="005C28A4" w:rsidP="00C675F2">
      <w:pPr>
        <w:pStyle w:val="a6"/>
      </w:pPr>
      <w:r>
        <w:lastRenderedPageBreak/>
        <w:t xml:space="preserve">О. Н. </w:t>
      </w:r>
      <w:r w:rsidRPr="00A2326C">
        <w:t>Злобин</w:t>
      </w:r>
    </w:p>
    <w:p w14:paraId="3086A1A3" w14:textId="7FDB49B6" w:rsidR="008B5461" w:rsidRPr="00B91C60" w:rsidRDefault="005C28A4" w:rsidP="00B91C60">
      <w:pPr>
        <w:pStyle w:val="a7"/>
      </w:pPr>
      <w:r w:rsidRPr="00B91C60">
        <w:t xml:space="preserve">Санкт-Петербургский </w:t>
      </w:r>
      <w:r w:rsidRPr="00C675F2">
        <w:t>государственный</w:t>
      </w:r>
      <w:r w:rsidRPr="00B91C60">
        <w:t xml:space="preserve"> университет телекоммуникаций </w:t>
      </w:r>
      <w:r w:rsidR="00C675F2">
        <w:br/>
        <w:t>им. проф. М.</w:t>
      </w:r>
      <w:r w:rsidRPr="00B91C60">
        <w:t>А. Бонч-Бруевича</w:t>
      </w:r>
    </w:p>
    <w:p w14:paraId="37F3C21B" w14:textId="77777777" w:rsidR="008B5461" w:rsidRPr="00C675F2" w:rsidRDefault="00C675F2" w:rsidP="00C675F2">
      <w:pPr>
        <w:pStyle w:val="a8"/>
      </w:pPr>
      <w:hyperlink r:id="rId6">
        <w:r w:rsidR="005C28A4">
          <w:rPr>
            <w:color w:val="000000"/>
          </w:rPr>
          <w:t>olegzlobin00@mail.ru</w:t>
        </w:r>
      </w:hyperlink>
    </w:p>
    <w:p w14:paraId="1D6A621F" w14:textId="77777777" w:rsidR="008B5461" w:rsidRDefault="005C28A4" w:rsidP="00C675F2">
      <w:pPr>
        <w:pStyle w:val="a6"/>
        <w:rPr>
          <w:color w:val="000000"/>
        </w:rPr>
      </w:pPr>
      <w:r>
        <w:rPr>
          <w:color w:val="000000"/>
        </w:rPr>
        <w:lastRenderedPageBreak/>
        <w:t xml:space="preserve">В. Л. </w:t>
      </w:r>
      <w:r w:rsidRPr="00C675F2">
        <w:t>Литвинов</w:t>
      </w:r>
    </w:p>
    <w:p w14:paraId="154310B6" w14:textId="79CE713E" w:rsidR="008B5461" w:rsidRPr="00B91C60" w:rsidRDefault="005C28A4" w:rsidP="00B91C60">
      <w:pPr>
        <w:pStyle w:val="a7"/>
      </w:pPr>
      <w:r w:rsidRPr="00B91C60">
        <w:t>Санкт-Петербургский государственный электротехнический университет «ЛЭТИ»</w:t>
      </w:r>
      <w:r w:rsidR="00C675F2">
        <w:t xml:space="preserve"> </w:t>
      </w:r>
      <w:r w:rsidR="00C675F2">
        <w:br/>
        <w:t>им. В.И. Ульянова (Ленина)</w:t>
      </w:r>
    </w:p>
    <w:p w14:paraId="48E4DA9A" w14:textId="77777777" w:rsidR="008B5461" w:rsidRPr="00C675F2" w:rsidRDefault="005C28A4" w:rsidP="00C675F2">
      <w:pPr>
        <w:pStyle w:val="a8"/>
      </w:pPr>
      <w:r w:rsidRPr="00C675F2">
        <w:t>vlad.litvinov61@gmail.com</w:t>
      </w:r>
    </w:p>
    <w:p w14:paraId="68A4A214" w14:textId="77777777" w:rsidR="00C675F2" w:rsidRDefault="00C675F2" w:rsidP="00C675F2">
      <w:pPr>
        <w:pStyle w:val="a6"/>
        <w:rPr>
          <w:color w:val="000000"/>
        </w:rPr>
      </w:pPr>
      <w:r>
        <w:rPr>
          <w:color w:val="000000"/>
        </w:rPr>
        <w:lastRenderedPageBreak/>
        <w:t xml:space="preserve">Ф. В. </w:t>
      </w:r>
      <w:r w:rsidRPr="00A2326C">
        <w:t>Филиппов</w:t>
      </w:r>
    </w:p>
    <w:p w14:paraId="62078960" w14:textId="5DD8D61F" w:rsidR="00C675F2" w:rsidRPr="00B91C60" w:rsidRDefault="00C675F2" w:rsidP="00C675F2">
      <w:pPr>
        <w:pStyle w:val="a7"/>
      </w:pPr>
      <w:r w:rsidRPr="00B91C60">
        <w:t xml:space="preserve">Санкт-Петербургский </w:t>
      </w:r>
      <w:r w:rsidRPr="00C675F2">
        <w:t>государственный</w:t>
      </w:r>
      <w:r w:rsidRPr="00B91C60">
        <w:t xml:space="preserve"> университет </w:t>
      </w:r>
      <w:r>
        <w:t xml:space="preserve">телекоммуникаций </w:t>
      </w:r>
      <w:r>
        <w:br/>
        <w:t>им. проф. М.</w:t>
      </w:r>
      <w:r w:rsidRPr="00B91C60">
        <w:t>А. Бонч-Бруевича</w:t>
      </w:r>
    </w:p>
    <w:p w14:paraId="59E2092D" w14:textId="21F3B7F4" w:rsidR="00C675F2" w:rsidRDefault="00C675F2" w:rsidP="00B91C60">
      <w:pPr>
        <w:pStyle w:val="a8"/>
        <w:rPr>
          <w:color w:val="000000"/>
          <w:lang w:val="ru-RU"/>
        </w:rPr>
      </w:pPr>
      <w:r>
        <w:t>filippovfelix@gmail.com</w:t>
      </w:r>
    </w:p>
    <w:p w14:paraId="4F86EA86" w14:textId="77777777" w:rsidR="00C675F2" w:rsidRPr="00C675F2" w:rsidRDefault="00C675F2" w:rsidP="00B91C60">
      <w:pPr>
        <w:pStyle w:val="a8"/>
        <w:rPr>
          <w:color w:val="000000"/>
          <w:lang w:val="ru-RU"/>
        </w:rPr>
        <w:sectPr w:rsidR="00C675F2" w:rsidRPr="00C675F2" w:rsidSect="00C675F2">
          <w:type w:val="continuous"/>
          <w:pgSz w:w="11906" w:h="16838"/>
          <w:pgMar w:top="907" w:right="907" w:bottom="1440" w:left="907" w:header="709" w:footer="709" w:gutter="0"/>
          <w:cols w:num="3" w:space="709"/>
        </w:sectPr>
      </w:pPr>
    </w:p>
    <w:p w14:paraId="4556252A" w14:textId="77777777" w:rsidR="008B5461" w:rsidRDefault="008B5461">
      <w:pPr>
        <w:jc w:val="center"/>
      </w:pPr>
    </w:p>
    <w:p w14:paraId="2D338A7D" w14:textId="1045157D" w:rsidR="00771264" w:rsidRDefault="00771264">
      <w:pPr>
        <w:jc w:val="center"/>
        <w:sectPr w:rsidR="00771264">
          <w:type w:val="continuous"/>
          <w:pgSz w:w="11906" w:h="16838"/>
          <w:pgMar w:top="907" w:right="907" w:bottom="1440" w:left="907" w:header="709" w:footer="709" w:gutter="0"/>
          <w:cols w:space="720"/>
        </w:sectPr>
      </w:pPr>
    </w:p>
    <w:p w14:paraId="2D549B27" w14:textId="1788F815" w:rsidR="008B5461" w:rsidRPr="00B91C60" w:rsidRDefault="005C28A4" w:rsidP="00C675F2">
      <w:pPr>
        <w:pStyle w:val="a9"/>
        <w:rPr>
          <w:shd w:val="clear" w:color="auto" w:fill="FFFFFF"/>
        </w:rPr>
      </w:pPr>
      <w:r w:rsidRPr="00C675F2">
        <w:rPr>
          <w:i/>
          <w:shd w:val="clear" w:color="auto" w:fill="FFFFFF"/>
        </w:rPr>
        <w:lastRenderedPageBreak/>
        <w:t>Аннотация</w:t>
      </w:r>
      <w:r w:rsidRPr="00B91C60">
        <w:rPr>
          <w:shd w:val="clear" w:color="auto" w:fill="FFFFFF"/>
        </w:rPr>
        <w:t>. Исследуются пути решения задачи оптимизации логического вывода</w:t>
      </w:r>
      <w:r w:rsidR="00D561D1" w:rsidRPr="00B91C60">
        <w:rPr>
          <w:shd w:val="clear" w:color="auto" w:fill="FFFFFF"/>
        </w:rPr>
        <w:t xml:space="preserve"> больших языковых моделей </w:t>
      </w:r>
      <w:r w:rsidRPr="00B91C60">
        <w:rPr>
          <w:shd w:val="clear" w:color="auto" w:fill="FFFFFF"/>
        </w:rPr>
        <w:t>при сохранении высокого качества ответов. Предложена архитектура адаптивного модуля, позволяющего динамически выбирать стратегии генерации в зависимости от типа задачи. Показано, что использование компактных моделей в сочетании с методами параметрически эффективной настройки позволяет достичь высокой эффективности при значительном снижении вычислительных затрат. Доказана целесообразность использования компактных языковых моделей с числом параметров до 8 миллиардов, которые при правильной настройке демонстрируют достаточную для многих практических задач производительность.</w:t>
      </w:r>
    </w:p>
    <w:p w14:paraId="21D0F46C" w14:textId="77777777" w:rsidR="008B5461" w:rsidRPr="00B91C60" w:rsidRDefault="005C28A4" w:rsidP="00B91C60">
      <w:pPr>
        <w:pStyle w:val="aa"/>
      </w:pPr>
      <w:r w:rsidRPr="00B91C60">
        <w:t>Ключевые слова: логический вывод; LLM; стратегии рассуждений; оптимизация ресурсов</w:t>
      </w:r>
    </w:p>
    <w:p w14:paraId="683D911F" w14:textId="77777777" w:rsidR="008B5461" w:rsidRDefault="005C28A4">
      <w:pPr>
        <w:pStyle w:val="1"/>
        <w:numPr>
          <w:ilvl w:val="0"/>
          <w:numId w:val="2"/>
        </w:numPr>
      </w:pPr>
      <w:r>
        <w:t>Введение</w:t>
      </w:r>
    </w:p>
    <w:p w14:paraId="1CF553D1" w14:textId="7B21AC4E" w:rsidR="008B5461" w:rsidRDefault="005C28A4" w:rsidP="00B42263">
      <w:pPr>
        <w:pStyle w:val="ab"/>
      </w:pPr>
      <w:r>
        <w:t>Современные информационные системы всё активнее интегрируют технологии искусственного интеллекта, среди которых ключевую роль играют большие языковые модели (LLM), обеспечивающие обработку и генерацию текста на естественном языке. При решении сложных задач логического вы</w:t>
      </w:r>
      <w:r w:rsidR="00D561D1">
        <w:t xml:space="preserve">вода, математических вычислений и т.п. </w:t>
      </w:r>
      <w:r>
        <w:t xml:space="preserve"> применяются специализированные методы генерации, такие как пошаговые цепочки и древовидные структуры. Несмотря на повышение точности ответов, подобные подходы сопряжены с высокими вычислительными затратами. Создание отдельного модуля, динамически выбирающего оптимальный метод генерации в зависимости от типа задачи, позволяет снизить нагрузку на систему и повысить общую эффективность обработки запросов [1</w:t>
      </w:r>
      <w:r w:rsidR="004405BA">
        <w:t>, 2</w:t>
      </w:r>
      <w:r>
        <w:t>].</w:t>
      </w:r>
    </w:p>
    <w:p w14:paraId="301B657D" w14:textId="784F96C7" w:rsidR="008B5461" w:rsidRDefault="005C28A4" w:rsidP="00B42263">
      <w:pPr>
        <w:pStyle w:val="ab"/>
        <w:rPr>
          <w:color w:val="000000"/>
        </w:rPr>
      </w:pPr>
      <w:r>
        <w:rPr>
          <w:color w:val="000000"/>
        </w:rPr>
        <w:t>Архитектура адаптивного «рассуждающего» модуля приведена на рис. 1. Эффективность работы языковой модели определяется не только объёмом её знаний, но и способом формирования ответа. В настоящее время активно развиваются методы, которые не требуют изменения внутренней архитектуры модели, а работают на уровне управления её поведением. К таким методам относятся: метод цепочек рассуждений (</w:t>
      </w:r>
      <w:proofErr w:type="spellStart"/>
      <w:r>
        <w:rPr>
          <w:color w:val="000000"/>
        </w:rPr>
        <w:t>Chain-of-Thought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CoT</w:t>
      </w:r>
      <w:proofErr w:type="spellEnd"/>
      <w:r>
        <w:rPr>
          <w:color w:val="000000"/>
        </w:rPr>
        <w:t>), метод дерева рассуждений (</w:t>
      </w:r>
      <w:proofErr w:type="spellStart"/>
      <w:r>
        <w:rPr>
          <w:color w:val="000000"/>
        </w:rPr>
        <w:t>Tree-of-Thought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ToT</w:t>
      </w:r>
      <w:proofErr w:type="spellEnd"/>
      <w:r>
        <w:rPr>
          <w:color w:val="000000"/>
        </w:rPr>
        <w:t>), метод «от простого к сложному» (</w:t>
      </w:r>
      <w:proofErr w:type="spellStart"/>
      <w:r>
        <w:rPr>
          <w:color w:val="000000"/>
        </w:rPr>
        <w:t>Least-to-Most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LtM</w:t>
      </w:r>
      <w:proofErr w:type="spellEnd"/>
      <w:r>
        <w:rPr>
          <w:color w:val="000000"/>
        </w:rPr>
        <w:t xml:space="preserve">) и метод </w:t>
      </w:r>
      <w:proofErr w:type="spellStart"/>
      <w:r>
        <w:rPr>
          <w:color w:val="000000"/>
        </w:rPr>
        <w:t>самосогласованно</w:t>
      </w:r>
      <w:r w:rsidR="00D561D1">
        <w:rPr>
          <w:color w:val="000000"/>
        </w:rPr>
        <w:t>сти</w:t>
      </w:r>
      <w:proofErr w:type="spellEnd"/>
      <w:r w:rsidR="00D561D1">
        <w:rPr>
          <w:color w:val="000000"/>
        </w:rPr>
        <w:t xml:space="preserve"> (</w:t>
      </w:r>
      <w:proofErr w:type="spellStart"/>
      <w:r w:rsidR="00D561D1">
        <w:rPr>
          <w:color w:val="000000"/>
        </w:rPr>
        <w:t>Self-Consistency</w:t>
      </w:r>
      <w:proofErr w:type="spellEnd"/>
      <w:r w:rsidR="00D561D1">
        <w:rPr>
          <w:color w:val="000000"/>
        </w:rPr>
        <w:t>, SC) [</w:t>
      </w:r>
      <w:r w:rsidR="004405BA">
        <w:rPr>
          <w:color w:val="000000"/>
        </w:rPr>
        <w:t>3</w:t>
      </w:r>
      <w:r w:rsidR="00D561D1">
        <w:rPr>
          <w:color w:val="000000"/>
        </w:rPr>
        <w:t>].</w:t>
      </w:r>
    </w:p>
    <w:p w14:paraId="52F31513" w14:textId="48B2289D" w:rsidR="00D561D1" w:rsidRDefault="00D561D1" w:rsidP="004F64A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lang w:val="ru-RU"/>
        </w:rPr>
        <w:lastRenderedPageBreak/>
        <w:drawing>
          <wp:inline distT="0" distB="0" distL="0" distR="0" wp14:anchorId="75CCF78F" wp14:editId="5C68F986">
            <wp:extent cx="2870421" cy="1685676"/>
            <wp:effectExtent l="0" t="0" r="635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036" cy="1708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44307" w14:textId="7CCD732A" w:rsidR="00D561D1" w:rsidRDefault="00D561D1" w:rsidP="00C675F2">
      <w:pPr>
        <w:pStyle w:val="a"/>
        <w:rPr>
          <w:sz w:val="20"/>
        </w:rPr>
      </w:pPr>
      <w:r w:rsidRPr="00C675F2">
        <w:t>Архитектура</w:t>
      </w:r>
      <w:r>
        <w:t xml:space="preserve"> адаптивного «рассуждающего» модуля</w:t>
      </w:r>
    </w:p>
    <w:p w14:paraId="261148A6" w14:textId="77777777" w:rsidR="008B5461" w:rsidRDefault="005C28A4">
      <w:pPr>
        <w:pStyle w:val="1"/>
        <w:numPr>
          <w:ilvl w:val="0"/>
          <w:numId w:val="2"/>
        </w:numPr>
      </w:pPr>
      <w:r>
        <w:t>Формализация задач логического вывода</w:t>
      </w:r>
    </w:p>
    <w:p w14:paraId="001CD2CA" w14:textId="77777777" w:rsidR="008B5461" w:rsidRDefault="005C28A4" w:rsidP="00C579A4">
      <w:pPr>
        <w:pStyle w:val="ab"/>
      </w:pPr>
      <w:r>
        <w:t>Рассмотрим особенности реализации указанных методов управления поведением LLM  с точки зрения адаптации механизма логического вывода. С этой целью формализуем постановку задачи на основе математической модели адаптивного модуля.</w:t>
      </w:r>
    </w:p>
    <w:p w14:paraId="6CCF319F" w14:textId="1ABDB082" w:rsidR="008B5461" w:rsidRDefault="005C28A4" w:rsidP="00C579A4">
      <w:pPr>
        <w:pStyle w:val="ab"/>
      </w:pPr>
      <w:r>
        <w:t>Пусть</w:t>
      </w:r>
      <w:r>
        <w:rPr>
          <w:i/>
          <w:iCs/>
        </w:rPr>
        <w:t xml:space="preserve"> T</w:t>
      </w:r>
      <w:r>
        <w:t xml:space="preserve"> </w:t>
      </w:r>
      <w:r w:rsidR="004F64A9">
        <w:t>–</w:t>
      </w:r>
      <w:r>
        <w:t xml:space="preserve"> входной текст (запрос), </w:t>
      </w:r>
      <w:r>
        <w:rPr>
          <w:i/>
          <w:iCs/>
        </w:rPr>
        <w:t>M</w:t>
      </w:r>
      <w:r>
        <w:t xml:space="preserve"> </w:t>
      </w:r>
      <w:r w:rsidR="004F64A9">
        <w:t>–</w:t>
      </w:r>
      <w:r>
        <w:t xml:space="preserve"> языковая модель с параметрами </w:t>
      </w:r>
      <w:r>
        <w:rPr>
          <w:i/>
          <w:iCs/>
        </w:rPr>
        <w:t>θ</w:t>
      </w:r>
      <w:r>
        <w:t xml:space="preserve">, </w:t>
      </w:r>
      <w:r>
        <w:rPr>
          <w:i/>
          <w:iCs/>
        </w:rPr>
        <w:t>A</w:t>
      </w:r>
      <w:r>
        <w:t xml:space="preserve"> </w:t>
      </w:r>
      <w:r w:rsidR="004F64A9">
        <w:t>–</w:t>
      </w:r>
      <w:r>
        <w:t xml:space="preserve"> ответ модели, </w:t>
      </w:r>
      <w:r>
        <w:rPr>
          <w:i/>
          <w:iCs/>
        </w:rPr>
        <w:t>S</w:t>
      </w:r>
      <w:r>
        <w:t xml:space="preserve"> </w:t>
      </w:r>
      <w:r w:rsidR="004F64A9">
        <w:t>–</w:t>
      </w:r>
      <w:r>
        <w:t xml:space="preserve"> стратегия логического вывода (например, </w:t>
      </w:r>
      <w:proofErr w:type="spellStart"/>
      <w:r>
        <w:t>CoT</w:t>
      </w:r>
      <w:proofErr w:type="spellEnd"/>
      <w:r>
        <w:t xml:space="preserve">, </w:t>
      </w:r>
      <w:proofErr w:type="spellStart"/>
      <w:r>
        <w:t>ToT</w:t>
      </w:r>
      <w:proofErr w:type="spellEnd"/>
      <w:r>
        <w:t xml:space="preserve">, </w:t>
      </w:r>
      <w:proofErr w:type="spellStart"/>
      <w:r>
        <w:t>LtM</w:t>
      </w:r>
      <w:proofErr w:type="spellEnd"/>
      <w:r>
        <w:t xml:space="preserve">, SC), </w:t>
      </w:r>
      <w:r>
        <w:rPr>
          <w:i/>
          <w:iCs/>
        </w:rPr>
        <w:t>R</w:t>
      </w:r>
      <w:r>
        <w:t>(</w:t>
      </w:r>
      <w:r>
        <w:rPr>
          <w:i/>
          <w:iCs/>
        </w:rPr>
        <w:t>S</w:t>
      </w:r>
      <w:r>
        <w:t xml:space="preserve">) </w:t>
      </w:r>
      <w:r w:rsidR="004F64A9">
        <w:t>–</w:t>
      </w:r>
      <w:r>
        <w:t xml:space="preserve"> вычислительные затраты стратегии </w:t>
      </w:r>
      <w:r>
        <w:rPr>
          <w:i/>
          <w:iCs/>
        </w:rPr>
        <w:t>S</w:t>
      </w:r>
      <w:r>
        <w:t>. Математическую модель адаптивного модуля, описывающую цель решения задачи логического вывода, можно представить в виде:</w:t>
      </w:r>
    </w:p>
    <w:p w14:paraId="63CD6324" w14:textId="77777777" w:rsidR="008B5461" w:rsidRDefault="00C675F2" w:rsidP="00C579A4">
      <w:pPr>
        <w:pStyle w:val="ab"/>
        <w:rPr>
          <w:rFonts w:ascii="Calibri" w:eastAsia="Calibri" w:hAnsi="Calibri" w:cs="Calibri"/>
          <w:color w:val="000000"/>
          <w:sz w:val="22"/>
          <w:szCs w:val="22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</w:rPr>
                <m:t>S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</w:rPr>
                <m:t>*</m:t>
              </m:r>
            </m:sup>
          </m:sSup>
          <m:r>
            <w:rPr>
              <w:rFonts w:ascii="Cambria Math" w:eastAsia="Cambria Math" w:hAnsi="Cambria Math" w:cs="Cambria Math"/>
              <w:color w:val="000000"/>
            </w:rPr>
            <m:t>=</m:t>
          </m:r>
          <m:r>
            <w:rPr>
              <w:rFonts w:ascii="Cambria Math" w:eastAsia="Cambria Math" w:hAnsi="Cambria Math" w:cs="Cambria Math"/>
              <w:color w:val="000000"/>
            </w:rPr>
            <m:t>R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S</m:t>
              </m:r>
            </m:e>
          </m:d>
          <m:r>
            <w:rPr>
              <w:rFonts w:ascii="Cambria Math" w:eastAsia="Cambria Math" w:hAnsi="Cambria Math" w:cs="Cambria Math"/>
              <w:color w:val="000000"/>
            </w:rPr>
            <m:t>,</m:t>
          </m:r>
          <m:r>
            <w:rPr>
              <w:rFonts w:ascii="Cambria Math" w:eastAsia="Calibri" w:hAnsi="Cambria Math" w:cs="Calibri"/>
              <w:color w:val="000000"/>
              <w:sz w:val="22"/>
              <w:szCs w:val="22"/>
            </w:rPr>
            <m:t xml:space="preserve"> </m:t>
          </m:r>
        </m:oMath>
      </m:oMathPara>
    </w:p>
    <w:p w14:paraId="5961426E" w14:textId="0572D6D6" w:rsidR="008B5461" w:rsidRDefault="005C28A4" w:rsidP="00C579A4">
      <w:pPr>
        <w:pStyle w:val="ab"/>
        <w:ind w:firstLine="0"/>
        <w:rPr>
          <w:color w:val="000000"/>
        </w:rPr>
      </w:pPr>
      <w:r>
        <w:rPr>
          <w:color w:val="000000"/>
        </w:rPr>
        <w:t xml:space="preserve">при условии </w:t>
      </w:r>
      <m:oMath>
        <m:r>
          <w:rPr>
            <w:rFonts w:ascii="Cambria Math" w:eastAsia="Cambria Math" w:hAnsi="Cambria Math" w:cs="Cambria Math"/>
            <w:color w:val="000000"/>
          </w:rPr>
          <m:t>P(A|T, M,S)≥τ</m:t>
        </m:r>
      </m:oMath>
      <w:r>
        <w:rPr>
          <w:color w:val="000000"/>
        </w:rPr>
        <w:t xml:space="preserve">, где </w:t>
      </w:r>
      <m:oMath>
        <m:r>
          <w:rPr>
            <w:rFonts w:ascii="Cambria Math" w:hAnsi="Cambria Math"/>
          </w:rPr>
          <m:t>τ</m:t>
        </m:r>
      </m:oMath>
      <w:r>
        <w:rPr>
          <w:color w:val="000000"/>
        </w:rPr>
        <w:t xml:space="preserve"> </w:t>
      </w:r>
      <w:r w:rsidR="004F64A9">
        <w:rPr>
          <w:color w:val="000000"/>
        </w:rPr>
        <w:t>–</w:t>
      </w:r>
      <w:r>
        <w:rPr>
          <w:color w:val="000000"/>
        </w:rPr>
        <w:t xml:space="preserve"> пороговое значение точности ответа, а </w:t>
      </w:r>
      <w:r>
        <w:rPr>
          <w:i/>
          <w:iCs/>
          <w:color w:val="000000"/>
        </w:rPr>
        <w:t>P</w:t>
      </w:r>
      <w:r>
        <w:rPr>
          <w:color w:val="000000"/>
        </w:rPr>
        <w:t>(</w:t>
      </w:r>
      <w:r>
        <w:rPr>
          <w:i/>
          <w:iCs/>
          <w:color w:val="000000"/>
        </w:rPr>
        <w:t>A</w:t>
      </w:r>
      <w:r>
        <w:rPr>
          <w:rFonts w:ascii="Cambria Math" w:eastAsia="Cambria Math" w:hAnsi="Cambria Math" w:cs="Cambria Math"/>
          <w:color w:val="000000"/>
        </w:rPr>
        <w:t>∣</w:t>
      </w:r>
      <w:r>
        <w:rPr>
          <w:i/>
          <w:iCs/>
          <w:color w:val="000000"/>
        </w:rPr>
        <w:t>T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M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S</w:t>
      </w:r>
      <w:r>
        <w:rPr>
          <w:color w:val="000000"/>
        </w:rPr>
        <w:t xml:space="preserve">) обозначает условную вероятность получения правильного ответа </w:t>
      </w:r>
      <w:r>
        <w:rPr>
          <w:i/>
          <w:iCs/>
          <w:color w:val="000000"/>
        </w:rPr>
        <w:t>A</w:t>
      </w:r>
      <w:r>
        <w:rPr>
          <w:color w:val="000000"/>
        </w:rPr>
        <w:t xml:space="preserve"> при заданном входном тексте </w:t>
      </w:r>
      <w:r>
        <w:rPr>
          <w:i/>
          <w:iCs/>
          <w:color w:val="000000"/>
        </w:rPr>
        <w:t>T</w:t>
      </w:r>
      <w:r>
        <w:rPr>
          <w:color w:val="000000"/>
        </w:rPr>
        <w:t xml:space="preserve">, модели </w:t>
      </w:r>
      <w:r>
        <w:rPr>
          <w:i/>
          <w:iCs/>
          <w:color w:val="000000"/>
        </w:rPr>
        <w:t>M</w:t>
      </w:r>
      <w:r w:rsidR="004F64A9">
        <w:rPr>
          <w:color w:val="000000"/>
        </w:rPr>
        <w:t xml:space="preserve"> и стратегии логичес</w:t>
      </w:r>
      <w:r>
        <w:rPr>
          <w:color w:val="000000"/>
        </w:rPr>
        <w:t xml:space="preserve">кого вывода </w:t>
      </w:r>
      <w:r>
        <w:rPr>
          <w:i/>
          <w:iCs/>
          <w:color w:val="000000"/>
        </w:rPr>
        <w:t>S</w:t>
      </w:r>
      <w:r>
        <w:rPr>
          <w:color w:val="000000"/>
        </w:rPr>
        <w:t>. Такая модель позволяет дать следующее математическое описание методов логического вывода.</w:t>
      </w:r>
    </w:p>
    <w:p w14:paraId="033E5473" w14:textId="4D49BDC0" w:rsidR="008B5461" w:rsidRDefault="005C28A4" w:rsidP="00C579A4">
      <w:pPr>
        <w:pStyle w:val="ab"/>
      </w:pPr>
      <w:r>
        <w:t xml:space="preserve">Метод цепочек рассуждений </w:t>
      </w:r>
      <w:proofErr w:type="spellStart"/>
      <w:r>
        <w:t>CoT</w:t>
      </w:r>
      <w:proofErr w:type="spellEnd"/>
      <w:r>
        <w:t xml:space="preserve">. Пусть </w:t>
      </w:r>
      <w:r>
        <w:rPr>
          <w:i/>
          <w:iCs/>
        </w:rPr>
        <w:t>x</w:t>
      </w:r>
      <w:r>
        <w:rPr>
          <w:vertAlign w:val="subscript"/>
        </w:rPr>
        <w:t>1</w:t>
      </w:r>
      <w:r>
        <w:t xml:space="preserve">, </w:t>
      </w:r>
      <w:r>
        <w:rPr>
          <w:i/>
          <w:iCs/>
        </w:rPr>
        <w:t>x</w:t>
      </w:r>
      <w:r>
        <w:rPr>
          <w:vertAlign w:val="subscript"/>
        </w:rPr>
        <w:t>2</w:t>
      </w:r>
      <w:r>
        <w:t xml:space="preserve">, …, </w:t>
      </w:r>
      <w:proofErr w:type="spellStart"/>
      <w:r>
        <w:rPr>
          <w:i/>
          <w:iCs/>
        </w:rPr>
        <w:t>x</w:t>
      </w:r>
      <w:r>
        <w:rPr>
          <w:i/>
          <w:iCs/>
          <w:vertAlign w:val="subscript"/>
        </w:rPr>
        <w:t>n</w:t>
      </w:r>
      <w:proofErr w:type="spellEnd"/>
      <w:r w:rsidR="00C675F2">
        <w:t> </w:t>
      </w:r>
      <w:r w:rsidR="004F64A9">
        <w:t>–</w:t>
      </w:r>
      <w:r>
        <w:t xml:space="preserve"> последовательность промежуточных рассуждений, а </w:t>
      </w:r>
      <w:r>
        <w:rPr>
          <w:i/>
          <w:iCs/>
        </w:rPr>
        <w:t>y</w:t>
      </w:r>
      <w:r>
        <w:t xml:space="preserve"> </w:t>
      </w:r>
      <w:r w:rsidR="004F64A9">
        <w:t>–</w:t>
      </w:r>
      <w:r>
        <w:t xml:space="preserve"> финальный ответ. Вероятность генерации ответа </w:t>
      </w:r>
      <w:r>
        <w:rPr>
          <w:i/>
          <w:iCs/>
        </w:rPr>
        <w:t>y</w:t>
      </w:r>
      <w:r w:rsidR="00C675F2">
        <w:t xml:space="preserve"> </w:t>
      </w:r>
      <w:r>
        <w:t xml:space="preserve">при заданном запросе </w:t>
      </w:r>
      <w:r>
        <w:rPr>
          <w:i/>
          <w:iCs/>
        </w:rPr>
        <w:t>T</w:t>
      </w:r>
      <w:r>
        <w:t xml:space="preserve"> вычисляется как произведение вероятностей всех промежуточных шагов и финального ответа:</w:t>
      </w:r>
    </w:p>
    <w:p w14:paraId="093A7521" w14:textId="14DCA469" w:rsidR="008B5461" w:rsidRPr="00C579A4" w:rsidRDefault="005C28A4" w:rsidP="00C579A4">
      <w:pPr>
        <w:pStyle w:val="ab"/>
        <w:spacing w:before="120"/>
        <w:rPr>
          <w:rFonts w:ascii="Cambria Math" w:eastAsia="Cambria Math" w:hAnsi="Cambria Math" w:cs="Cambria Math"/>
        </w:rPr>
      </w:pPr>
      <m:oMathPara>
        <m:oMathParaPr>
          <m:jc m:val="center"/>
        </m:oMathParaPr>
        <m:oMath>
          <m:r>
            <w:rPr>
              <w:rFonts w:ascii="Cambria Math" w:eastAsia="Cambria Math" w:hAnsi="Cambria Math" w:cs="Cambria Math"/>
            </w:rPr>
            <m:t>P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nary>
            <m:naryPr>
              <m:chr m:val="∏"/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i=1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n</m:t>
              </m:r>
            </m:sup>
            <m:e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e>
          </m:nary>
          <m:r>
            <w:rPr>
              <w:rFonts w:ascii="Cambria Math" w:eastAsia="Cambria Math" w:hAnsi="Cambria Math" w:cs="Cambria Math"/>
            </w:rPr>
            <m:t>P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i-1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,T</m:t>
              </m:r>
            </m:e>
          </m:d>
          <m:r>
            <w:rPr>
              <w:rFonts w:ascii="Cambria Math" w:eastAsia="Cambria Math" w:hAnsi="Cambria Math" w:cs="Cambria Math"/>
            </w:rPr>
            <m:t>∙P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,T</m:t>
              </m:r>
            </m:e>
          </m:d>
          <m:r>
            <w:rPr>
              <w:rFonts w:ascii="Cambria Math" w:eastAsia="Cambria Math" w:hAnsi="Cambria Math" w:cs="Cambria Math"/>
            </w:rPr>
            <m:t>.</m:t>
          </m:r>
        </m:oMath>
      </m:oMathPara>
    </w:p>
    <w:p w14:paraId="432F762B" w14:textId="27F7EA43" w:rsidR="008B5461" w:rsidRDefault="005C28A4" w:rsidP="00C579A4">
      <w:pPr>
        <w:pStyle w:val="ab"/>
      </w:pPr>
      <w:r>
        <w:lastRenderedPageBreak/>
        <w:t xml:space="preserve">Модель начинает с входного текста </w:t>
      </w:r>
      <w:r>
        <w:rPr>
          <w:i/>
          <w:iCs/>
        </w:rPr>
        <w:t>T</w:t>
      </w:r>
      <w:r>
        <w:t xml:space="preserve"> и генерирует первое промежуточное рассуждение </w:t>
      </w:r>
      <w:r>
        <w:rPr>
          <w:i/>
          <w:iCs/>
        </w:rPr>
        <w:t>x</w:t>
      </w:r>
      <w:r>
        <w:rPr>
          <w:vertAlign w:val="subscript"/>
        </w:rPr>
        <w:t>1</w:t>
      </w:r>
      <w:r>
        <w:t xml:space="preserve">. Затем модель использует </w:t>
      </w:r>
      <w:r>
        <w:rPr>
          <w:i/>
          <w:iCs/>
        </w:rPr>
        <w:t>x</w:t>
      </w:r>
      <w:r>
        <w:rPr>
          <w:vertAlign w:val="subscript"/>
        </w:rPr>
        <w:t>1</w:t>
      </w:r>
      <w:r>
        <w:t xml:space="preserve"> и</w:t>
      </w:r>
      <w:r>
        <w:rPr>
          <w:i/>
          <w:iCs/>
        </w:rPr>
        <w:t xml:space="preserve"> T</w:t>
      </w:r>
      <w:r>
        <w:t xml:space="preserve"> для генерации следующего рассуждения </w:t>
      </w:r>
      <w:r>
        <w:rPr>
          <w:i/>
          <w:iCs/>
        </w:rPr>
        <w:t>x</w:t>
      </w:r>
      <w:r>
        <w:rPr>
          <w:vertAlign w:val="subscript"/>
        </w:rPr>
        <w:t>2</w:t>
      </w:r>
      <w:r>
        <w:t xml:space="preserve">. Процесс продолжается до тех пор, пока не будет сгенерирован финальный ответ </w:t>
      </w:r>
      <w:r>
        <w:rPr>
          <w:i/>
          <w:iCs/>
        </w:rPr>
        <w:t>y</w:t>
      </w:r>
      <w:r>
        <w:t>. Вероятность всего процесса вычисляется как произведение вероятностей каждого шага.</w:t>
      </w:r>
    </w:p>
    <w:p w14:paraId="0ED53544" w14:textId="74492A28" w:rsidR="008B5461" w:rsidRDefault="005C28A4" w:rsidP="00C579A4">
      <w:pPr>
        <w:pStyle w:val="ab"/>
      </w:pPr>
      <w:r>
        <w:t>Метод цепочек рассуждений (</w:t>
      </w:r>
      <w:proofErr w:type="spellStart"/>
      <w:r>
        <w:t>CoT</w:t>
      </w:r>
      <w:proofErr w:type="spellEnd"/>
      <w:r>
        <w:t xml:space="preserve">) отличается простотой реализации и обеспечивает интерпретируемость процесса генерации ответа, что способствует повышению доверия к результатам. Применение </w:t>
      </w:r>
      <w:proofErr w:type="spellStart"/>
      <w:r>
        <w:t>CoT</w:t>
      </w:r>
      <w:proofErr w:type="spellEnd"/>
      <w:r>
        <w:t xml:space="preserve"> не требует </w:t>
      </w:r>
      <w:proofErr w:type="spellStart"/>
      <w:r>
        <w:t>дообучения</w:t>
      </w:r>
      <w:proofErr w:type="spellEnd"/>
      <w:r>
        <w:t xml:space="preserve"> модели: промежуточные шаги формируются в рамках стандартного </w:t>
      </w:r>
      <w:proofErr w:type="spellStart"/>
      <w:r>
        <w:t>инференса</w:t>
      </w:r>
      <w:proofErr w:type="spellEnd"/>
      <w:r>
        <w:t xml:space="preserve"> и позволяют снизить вероятность ошибок, характерных для прямой генерации. Метод применим к широкому кругу задач </w:t>
      </w:r>
      <w:r w:rsidR="004F64A9">
        <w:t>–</w:t>
      </w:r>
      <w:r>
        <w:t xml:space="preserve"> от простых арифметических вычислений до сложных логических рассуждений. Наибольшая эффективность </w:t>
      </w:r>
      <w:proofErr w:type="spellStart"/>
      <w:r>
        <w:t>CoT</w:t>
      </w:r>
      <w:proofErr w:type="spellEnd"/>
      <w:r>
        <w:t xml:space="preserve"> достигается при использовании крупных языковых моделей, однако современные компактные модели, специализированные для задач рассуждения, также демонстрируют сопоставимые результаты [</w:t>
      </w:r>
      <w:r w:rsidR="004405BA">
        <w:t>4</w:t>
      </w:r>
      <w:r>
        <w:t>].</w:t>
      </w:r>
    </w:p>
    <w:p w14:paraId="702BCE3C" w14:textId="3443B3A1" w:rsidR="008B5461" w:rsidRDefault="005C28A4" w:rsidP="00C579A4">
      <w:pPr>
        <w:pStyle w:val="ab"/>
        <w:rPr>
          <w:i/>
          <w:iCs/>
        </w:rPr>
      </w:pPr>
      <w:r>
        <w:t>Метод дерева рассуждений</w:t>
      </w:r>
      <w:r>
        <w:rPr>
          <w:b/>
          <w:bCs/>
        </w:rPr>
        <w:t xml:space="preserve"> </w:t>
      </w:r>
      <w:proofErr w:type="spellStart"/>
      <w:r>
        <w:t>ToT</w:t>
      </w:r>
      <w:proofErr w:type="spellEnd"/>
      <w:r>
        <w:t xml:space="preserve">. Пусть </w:t>
      </w:r>
      <w:r w:rsidRPr="00F76FCF">
        <w:rPr>
          <w:i/>
          <w:iCs/>
        </w:rPr>
        <w:t>G</w:t>
      </w:r>
      <w:r>
        <w:t xml:space="preserve"> = (</w:t>
      </w:r>
      <w:r w:rsidRPr="00F76FCF">
        <w:rPr>
          <w:i/>
          <w:iCs/>
        </w:rPr>
        <w:t>V</w:t>
      </w:r>
      <w:r>
        <w:t>,</w:t>
      </w:r>
      <w:r w:rsidRPr="00474E3D">
        <w:t xml:space="preserve"> </w:t>
      </w:r>
      <w:r w:rsidRPr="00F76FCF">
        <w:rPr>
          <w:i/>
          <w:iCs/>
        </w:rPr>
        <w:t>E</w:t>
      </w:r>
      <w:r>
        <w:t xml:space="preserve">) </w:t>
      </w:r>
      <w:r w:rsidR="004F64A9">
        <w:t>–</w:t>
      </w:r>
      <w:r>
        <w:t xml:space="preserve"> дерево рассуждений, где </w:t>
      </w:r>
      <w:r w:rsidRPr="00F76FCF">
        <w:rPr>
          <w:i/>
          <w:iCs/>
        </w:rPr>
        <w:t>V</w:t>
      </w:r>
      <w:r>
        <w:t xml:space="preserve"> </w:t>
      </w:r>
      <w:r w:rsidR="004F64A9">
        <w:t>–</w:t>
      </w:r>
      <w:r>
        <w:t xml:space="preserve"> узлы (промежуточные выводы), а </w:t>
      </w:r>
      <w:r w:rsidRPr="00F76FCF">
        <w:rPr>
          <w:i/>
          <w:iCs/>
        </w:rPr>
        <w:t>E</w:t>
      </w:r>
      <w:r>
        <w:t xml:space="preserve"> </w:t>
      </w:r>
      <w:r w:rsidR="004F64A9">
        <w:t>–</w:t>
      </w:r>
      <w:r>
        <w:t xml:space="preserve"> рёбра (переходы между выводами). Оптимальный путь определяется как:</w:t>
      </w:r>
    </w:p>
    <w:p w14:paraId="5B93C7C9" w14:textId="0D19238F" w:rsidR="008B5461" w:rsidRPr="00C579A4" w:rsidRDefault="00C675F2" w:rsidP="00C579A4">
      <w:pPr>
        <w:pStyle w:val="ab"/>
        <w:spacing w:before="120"/>
        <w:rPr>
          <w:rFonts w:ascii="Cambria Math" w:eastAsia="Cambria Math" w:hAnsi="Cambria Math" w:cs="Cambria Math"/>
          <w:color w:val="000000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</w:rPr>
                <m:t>p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</w:rPr>
                <m:t>*</m:t>
              </m:r>
            </m:sup>
          </m:sSup>
          <m:r>
            <w:rPr>
              <w:rFonts w:ascii="Cambria Math" w:eastAsia="Cambria Math" w:hAnsi="Cambria Math" w:cs="Cambria Math"/>
              <w:color w:val="000000"/>
            </w:rPr>
            <m:t>=</m:t>
          </m:r>
          <m:r>
            <w:rPr>
              <w:rFonts w:ascii="Cambria Math" w:eastAsia="Cambria Math" w:hAnsi="Cambria Math" w:cs="Cambria Math"/>
              <w:color w:val="000000"/>
            </w:rPr>
            <m:t>arg</m:t>
          </m:r>
          <m:r>
            <w:rPr>
              <w:rFonts w:ascii="Cambria Math" w:eastAsia="Cambria Math" w:hAnsi="Cambria Math" w:cs="Cambria Math"/>
              <w:color w:val="000000"/>
            </w:rPr>
            <m:t>(</m:t>
          </m:r>
          <m:r>
            <w:rPr>
              <w:rFonts w:ascii="Cambria Math" w:eastAsia="Cambria Math" w:hAnsi="Cambria Math" w:cs="Cambria Math"/>
              <w:color w:val="000000"/>
            </w:rPr>
            <m:t>P</m:t>
          </m:r>
          <m:r>
            <w:rPr>
              <w:rFonts w:ascii="Cambria Math" w:eastAsia="Cambria Math" w:hAnsi="Cambria Math" w:cs="Cambria Math"/>
              <w:color w:val="000000"/>
            </w:rPr>
            <m:t>(</m:t>
          </m:r>
          <m:r>
            <w:rPr>
              <w:rFonts w:ascii="Cambria Math" w:eastAsia="Cambria Math" w:hAnsi="Cambria Math" w:cs="Cambria Math"/>
              <w:color w:val="000000"/>
            </w:rPr>
            <m:t>p</m:t>
          </m:r>
          <m:r>
            <w:rPr>
              <w:rFonts w:ascii="Cambria Math" w:eastAsia="Cambria Math" w:hAnsi="Cambria Math" w:cs="Cambria Math"/>
              <w:color w:val="000000"/>
            </w:rPr>
            <m:t>|</m:t>
          </m:r>
          <m:r>
            <w:rPr>
              <w:rFonts w:ascii="Cambria Math" w:eastAsia="Cambria Math" w:hAnsi="Cambria Math" w:cs="Cambria Math"/>
              <w:color w:val="000000"/>
            </w:rPr>
            <m:t>T</m:t>
          </m:r>
          <m:r>
            <w:rPr>
              <w:rFonts w:ascii="Cambria Math" w:eastAsia="Cambria Math" w:hAnsi="Cambria Math" w:cs="Cambria Math"/>
              <w:color w:val="000000"/>
            </w:rPr>
            <m:t>)∙</m:t>
          </m:r>
          <m:r>
            <w:rPr>
              <w:rFonts w:ascii="Cambria Math" w:eastAsia="Cambria Math" w:hAnsi="Cambria Math" w:cs="Cambria Math"/>
              <w:color w:val="000000"/>
            </w:rPr>
            <m:t>Score</m:t>
          </m:r>
          <m:r>
            <w:rPr>
              <w:rFonts w:ascii="Cambria Math" w:eastAsia="Cambria Math" w:hAnsi="Cambria Math" w:cs="Cambria Math"/>
              <w:color w:val="000000"/>
            </w:rPr>
            <m:t>(</m:t>
          </m:r>
          <m:r>
            <w:rPr>
              <w:rFonts w:ascii="Cambria Math" w:eastAsia="Cambria Math" w:hAnsi="Cambria Math" w:cs="Cambria Math"/>
              <w:color w:val="000000"/>
            </w:rPr>
            <m:t>p</m:t>
          </m:r>
          <m:r>
            <w:rPr>
              <w:rFonts w:ascii="Cambria Math" w:eastAsia="Cambria Math" w:hAnsi="Cambria Math" w:cs="Cambria Math"/>
              <w:color w:val="000000"/>
            </w:rPr>
            <m:t>))</m:t>
          </m:r>
          <m:r>
            <w:rPr>
              <w:rFonts w:ascii="Cambria Math" w:hAnsi="Cambria Math"/>
              <w:color w:val="000000"/>
            </w:rPr>
            <m:t xml:space="preserve"> </m:t>
          </m:r>
          <m:r>
            <w:rPr>
              <w:rFonts w:ascii="Cambria Math" w:eastAsia="Cambria Math" w:hAnsi="Cambria Math" w:cs="Cambria Math"/>
              <w:color w:val="000000"/>
            </w:rPr>
            <m:t>,</m:t>
          </m:r>
        </m:oMath>
      </m:oMathPara>
    </w:p>
    <w:p w14:paraId="559494B2" w14:textId="6AC9D785" w:rsidR="008B5461" w:rsidRDefault="005C28A4" w:rsidP="00EA4858">
      <w:pPr>
        <w:pStyle w:val="ab"/>
        <w:ind w:firstLine="0"/>
      </w:pPr>
      <w:r>
        <w:rPr>
          <w:color w:val="000000"/>
        </w:rPr>
        <w:t xml:space="preserve">где </w:t>
      </w:r>
      <w:proofErr w:type="spellStart"/>
      <w:r>
        <w:rPr>
          <w:color w:val="000000"/>
        </w:rPr>
        <w:t>Score</w:t>
      </w:r>
      <w:proofErr w:type="spellEnd"/>
      <w:r>
        <w:rPr>
          <w:color w:val="000000"/>
        </w:rPr>
        <w:t>(</w:t>
      </w:r>
      <w:r>
        <w:rPr>
          <w:i/>
          <w:iCs/>
          <w:color w:val="000000"/>
        </w:rPr>
        <w:t>p</w:t>
      </w:r>
      <w:r>
        <w:rPr>
          <w:color w:val="000000"/>
        </w:rPr>
        <w:t xml:space="preserve">) </w:t>
      </w:r>
      <w:r w:rsidR="004F64A9">
        <w:rPr>
          <w:color w:val="000000"/>
        </w:rPr>
        <w:t>–</w:t>
      </w:r>
      <w:r>
        <w:rPr>
          <w:color w:val="000000"/>
        </w:rPr>
        <w:t xml:space="preserve"> комплексная метрика качества пути. Она учитывает вероятность пути, его согласованность с другими путями и уверенность в финальном ответе. Если несколько путей приводят к одному и тому же выводу, это увеличивает уверенность в правильности ответа. Согласованность можно оценить как количество путей, приводящих к одному и тому же финальному узлу. </w:t>
      </w:r>
      <w:r>
        <w:t>Метод дерева рассуждений (</w:t>
      </w:r>
      <w:proofErr w:type="spellStart"/>
      <w:r>
        <w:t>ToT</w:t>
      </w:r>
      <w:proofErr w:type="spellEnd"/>
      <w:r>
        <w:t xml:space="preserve">) представляет собой более сложную стратегию, в рамках которой модель осуществляет поиск оптимального пути в дереве возможных рассуждений, что позволяет повысить точность и надёжность итогового ответа. Однако реализация данного подхода сопряжена с существенными вычислительными затратами. Наибольшая эффективность </w:t>
      </w:r>
      <w:proofErr w:type="spellStart"/>
      <w:r>
        <w:t>ToT</w:t>
      </w:r>
      <w:proofErr w:type="spellEnd"/>
      <w:r>
        <w:t xml:space="preserve"> достигается при решении задач, требующих многоальтернативного анализа и глубокой логической проработки [</w:t>
      </w:r>
      <w:r w:rsidR="004405BA">
        <w:t>5</w:t>
      </w:r>
      <w:r>
        <w:t>].</w:t>
      </w:r>
    </w:p>
    <w:p w14:paraId="40194E8D" w14:textId="31791BED" w:rsidR="008B5461" w:rsidRDefault="005C28A4" w:rsidP="00C579A4">
      <w:pPr>
        <w:pStyle w:val="ab"/>
      </w:pPr>
      <w:r>
        <w:t xml:space="preserve">Метод «от простого к сложному» </w:t>
      </w:r>
      <w:proofErr w:type="spellStart"/>
      <w:r>
        <w:t>LtM</w:t>
      </w:r>
      <w:proofErr w:type="spellEnd"/>
      <w:r>
        <w:t xml:space="preserve">. Пусть </w:t>
      </w:r>
      <w:r>
        <w:rPr>
          <w:i/>
          <w:iCs/>
        </w:rPr>
        <w:t>T</w:t>
      </w:r>
      <w:r>
        <w:t xml:space="preserve"> </w:t>
      </w:r>
      <w:r w:rsidR="004F64A9">
        <w:t>–</w:t>
      </w:r>
      <w:r>
        <w:t xml:space="preserve"> сложная задача, {</w:t>
      </w:r>
      <w:r>
        <w:rPr>
          <w:i/>
          <w:iCs/>
        </w:rPr>
        <w:t>t</w:t>
      </w:r>
      <w:r>
        <w:rPr>
          <w:vertAlign w:val="subscript"/>
        </w:rPr>
        <w:t>1</w:t>
      </w:r>
      <w:r>
        <w:t xml:space="preserve">, </w:t>
      </w:r>
      <w:r>
        <w:rPr>
          <w:i/>
          <w:iCs/>
        </w:rPr>
        <w:t>t</w:t>
      </w:r>
      <w:r>
        <w:rPr>
          <w:vertAlign w:val="subscript"/>
        </w:rPr>
        <w:t>2</w:t>
      </w:r>
      <w:r>
        <w:t xml:space="preserve">, …, </w:t>
      </w:r>
      <w:proofErr w:type="spellStart"/>
      <w:r>
        <w:rPr>
          <w:i/>
          <w:iCs/>
        </w:rPr>
        <w:t>t</w:t>
      </w:r>
      <w:r>
        <w:rPr>
          <w:vertAlign w:val="subscript"/>
        </w:rPr>
        <w:t>k</w:t>
      </w:r>
      <w:proofErr w:type="spellEnd"/>
      <w:r>
        <w:t xml:space="preserve">}  </w:t>
      </w:r>
      <w:r w:rsidR="004F64A9">
        <w:t>–</w:t>
      </w:r>
      <w:r>
        <w:t xml:space="preserve"> последовательность подзадач, на которые разбита задача </w:t>
      </w:r>
      <w:r>
        <w:rPr>
          <w:i/>
          <w:iCs/>
        </w:rPr>
        <w:t>T</w:t>
      </w:r>
      <w:r>
        <w:t xml:space="preserve">, </w:t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i</w:t>
      </w:r>
      <w:proofErr w:type="spellEnd"/>
      <w:r>
        <w:t xml:space="preserve"> </w:t>
      </w:r>
      <w:r w:rsidR="004F64A9">
        <w:t>–</w:t>
      </w:r>
      <w:r>
        <w:t xml:space="preserve"> ответ на подзадачу </w:t>
      </w:r>
      <w:proofErr w:type="spellStart"/>
      <w:r>
        <w:rPr>
          <w:i/>
          <w:iCs/>
        </w:rPr>
        <w:t>t</w:t>
      </w:r>
      <w:r>
        <w:rPr>
          <w:i/>
          <w:iCs/>
          <w:vertAlign w:val="subscript"/>
        </w:rPr>
        <w:t>i</w:t>
      </w:r>
      <w:proofErr w:type="spellEnd"/>
      <w:r>
        <w:t xml:space="preserve">. Финальный ответ на задачу </w:t>
      </w:r>
      <w:r>
        <w:rPr>
          <w:i/>
          <w:iCs/>
        </w:rPr>
        <w:t>T</w:t>
      </w:r>
      <w:r>
        <w:t xml:space="preserve"> определяется как:</w:t>
      </w:r>
    </w:p>
    <w:p w14:paraId="25E7418E" w14:textId="7A75B0DB" w:rsidR="008B5461" w:rsidRPr="00771264" w:rsidRDefault="00C675F2" w:rsidP="00C579A4">
      <w:pPr>
        <w:pStyle w:val="ab"/>
        <w:rPr>
          <w:rFonts w:ascii="Cambria Math" w:eastAsia="Cambria Math" w:hAnsi="Cambria Math" w:cs="Cambria Math"/>
          <w:color w:val="000000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  <w:color w:val="000000"/>
                </w:rPr>
                <m:t>k</m:t>
              </m:r>
            </m:sub>
          </m:sSub>
          <m:r>
            <w:rPr>
              <w:rFonts w:ascii="Cambria Math" w:eastAsia="Cambria Math" w:hAnsi="Cambria Math" w:cs="Cambria Math"/>
              <w:color w:val="000000"/>
            </w:rPr>
            <m:t>=</m:t>
          </m:r>
          <m:r>
            <w:rPr>
              <w:rFonts w:ascii="Cambria Math" w:eastAsia="Cambria Math" w:hAnsi="Cambria Math" w:cs="Cambria Math"/>
              <w:color w:val="000000"/>
            </w:rPr>
            <m:t>M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k</m:t>
                  </m:r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1,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</w:rPr>
                <m:t>…,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1,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color w:val="000000"/>
            </w:rPr>
            <m:t>.</m:t>
          </m:r>
        </m:oMath>
      </m:oMathPara>
    </w:p>
    <w:p w14:paraId="7F4C6311" w14:textId="3249CC50" w:rsidR="008B5461" w:rsidRDefault="005C28A4" w:rsidP="00C579A4">
      <w:pPr>
        <w:pStyle w:val="ab"/>
      </w:pPr>
      <w:r>
        <w:t xml:space="preserve">Решается первая подзадача </w:t>
      </w:r>
      <w:r>
        <w:rPr>
          <w:i/>
          <w:iCs/>
        </w:rPr>
        <w:t>t</w:t>
      </w:r>
      <w:r>
        <w:rPr>
          <w:vertAlign w:val="subscript"/>
        </w:rPr>
        <w:t>1</w:t>
      </w:r>
      <w:r>
        <w:t xml:space="preserve">, получаем ответ </w:t>
      </w:r>
      <w:r>
        <w:rPr>
          <w:i/>
          <w:iCs/>
        </w:rPr>
        <w:t>A</w:t>
      </w:r>
      <w:r>
        <w:rPr>
          <w:vertAlign w:val="subscript"/>
        </w:rPr>
        <w:t>1</w:t>
      </w:r>
      <w:r>
        <w:t xml:space="preserve">. С использованием </w:t>
      </w:r>
      <w:r>
        <w:rPr>
          <w:i/>
          <w:iCs/>
        </w:rPr>
        <w:t>A</w:t>
      </w:r>
      <w:r>
        <w:rPr>
          <w:vertAlign w:val="subscript"/>
        </w:rPr>
        <w:t>1</w:t>
      </w:r>
      <w:r>
        <w:t xml:space="preserve"> решается вторая подзадача </w:t>
      </w:r>
      <w:r>
        <w:rPr>
          <w:i/>
          <w:iCs/>
        </w:rPr>
        <w:t>t</w:t>
      </w:r>
      <w:r>
        <w:rPr>
          <w:vertAlign w:val="subscript"/>
        </w:rPr>
        <w:t>2</w:t>
      </w:r>
      <w:r>
        <w:t xml:space="preserve">, получаем ответ </w:t>
      </w:r>
      <w:r>
        <w:rPr>
          <w:i/>
          <w:iCs/>
        </w:rPr>
        <w:t>A</w:t>
      </w:r>
      <w:r>
        <w:rPr>
          <w:vertAlign w:val="subscript"/>
        </w:rPr>
        <w:t>2</w:t>
      </w:r>
      <w:r>
        <w:t xml:space="preserve">. Процесс продолжается до тех пор, пока не будет решена последняя подзадача </w:t>
      </w:r>
      <w:proofErr w:type="spellStart"/>
      <w:r>
        <w:rPr>
          <w:i/>
          <w:iCs/>
        </w:rPr>
        <w:t>t</w:t>
      </w:r>
      <w:r>
        <w:rPr>
          <w:i/>
          <w:iCs/>
          <w:vertAlign w:val="subscript"/>
        </w:rPr>
        <w:t>k</w:t>
      </w:r>
      <w:proofErr w:type="spellEnd"/>
      <w:r>
        <w:t xml:space="preserve"> , и получен финальный ответ </w:t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k</w:t>
      </w:r>
      <w:proofErr w:type="spellEnd"/>
      <w:r>
        <w:t>.</w:t>
      </w:r>
      <w:r w:rsidR="00771264" w:rsidRPr="00771264">
        <w:t xml:space="preserve"> </w:t>
      </w:r>
      <w:r>
        <w:t>Метод «от простого к сложному» основан на декомпозиции сложной задачи на последовательность более простых подзадач. Это снижает когнитивную нагрузку на модель и повышает точность итогового ответа. Метод реализуется на уровне формирования входных данных и не требует изменения архитектуры модели [</w:t>
      </w:r>
      <w:r w:rsidR="004405BA">
        <w:t>6</w:t>
      </w:r>
      <w:r>
        <w:t>].</w:t>
      </w:r>
    </w:p>
    <w:p w14:paraId="71BCC773" w14:textId="1AA6A1FC" w:rsidR="008B5461" w:rsidRDefault="005C28A4" w:rsidP="00C579A4">
      <w:pPr>
        <w:pStyle w:val="ab"/>
        <w:rPr>
          <w:color w:val="000000"/>
        </w:rPr>
      </w:pPr>
      <w:r>
        <w:rPr>
          <w:color w:val="000000"/>
        </w:rPr>
        <w:lastRenderedPageBreak/>
        <w:t>Метод самосогласованности SC. Пусть {</w:t>
      </w:r>
      <w:r>
        <w:rPr>
          <w:i/>
          <w:iCs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, …, </w:t>
      </w:r>
      <w:proofErr w:type="spellStart"/>
      <w:r>
        <w:rPr>
          <w:i/>
          <w:iCs/>
          <w:color w:val="000000"/>
        </w:rPr>
        <w:t>A</w:t>
      </w:r>
      <w:r>
        <w:rPr>
          <w:i/>
          <w:iCs/>
          <w:color w:val="000000"/>
          <w:vertAlign w:val="subscript"/>
        </w:rPr>
        <w:t>m</w:t>
      </w:r>
      <w:proofErr w:type="spellEnd"/>
      <w:r>
        <w:rPr>
          <w:color w:val="000000"/>
        </w:rPr>
        <w:t xml:space="preserve">} </w:t>
      </w:r>
      <w:r w:rsidR="004F64A9">
        <w:rPr>
          <w:color w:val="000000"/>
        </w:rPr>
        <w:t>–</w:t>
      </w:r>
      <w:r>
        <w:rPr>
          <w:color w:val="000000"/>
        </w:rPr>
        <w:t xml:space="preserve"> множество ответов, сгенерированных с использованием одной стратегии. Финальный ответ:</w:t>
      </w:r>
    </w:p>
    <w:p w14:paraId="1715FCBB" w14:textId="63053568" w:rsidR="008B5461" w:rsidRDefault="005C28A4" w:rsidP="00C579A4">
      <w:pPr>
        <w:pStyle w:val="ab"/>
        <w:spacing w:before="120"/>
        <w:jc w:val="center"/>
      </w:pPr>
      <m:oMath>
        <m:r>
          <w:rPr>
            <w:rFonts w:ascii="Cambria Math" w:eastAsia="Cambria Math" w:hAnsi="Cambria Math" w:cs="Cambria Math"/>
          </w:rPr>
          <m:t>A=mode(</m:t>
        </m:r>
        <m:d>
          <m:dPr>
            <m:begChr m:val="{"/>
            <m:endChr m:val="}"/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</w:rPr>
              <m:t>,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2</m:t>
                </m:r>
              </m:sub>
            </m:sSub>
            <m:r>
              <w:rPr>
                <w:rFonts w:ascii="Cambria Math" w:eastAsia="Cambria Math" w:hAnsi="Cambria Math" w:cs="Cambria Math"/>
              </w:rPr>
              <m:t>,…,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)</m:t>
        </m:r>
      </m:oMath>
      <w:r>
        <w:t>,</w:t>
      </w:r>
    </w:p>
    <w:p w14:paraId="17D4BFE1" w14:textId="363EC9CD" w:rsidR="008B5461" w:rsidRDefault="005C28A4" w:rsidP="00C579A4">
      <w:pPr>
        <w:pStyle w:val="ab"/>
        <w:ind w:firstLine="0"/>
      </w:pPr>
      <w:r>
        <w:t xml:space="preserve">где </w:t>
      </w:r>
      <w:proofErr w:type="spellStart"/>
      <w:r w:rsidRPr="00C81103">
        <w:rPr>
          <w:i/>
        </w:rPr>
        <w:t>mode</w:t>
      </w:r>
      <w:proofErr w:type="spellEnd"/>
      <w:r>
        <w:t xml:space="preserve"> </w:t>
      </w:r>
      <w:r w:rsidR="004F64A9">
        <w:t>–</w:t>
      </w:r>
      <w:r>
        <w:t xml:space="preserve"> наиболее часто встречающееся значение в множестве ответов {</w:t>
      </w:r>
      <w:r>
        <w:rPr>
          <w:i/>
          <w:iCs/>
        </w:rPr>
        <w:t>A</w:t>
      </w:r>
      <w:r>
        <w:rPr>
          <w:vertAlign w:val="subscript"/>
        </w:rPr>
        <w:t>1</w:t>
      </w:r>
      <w:r>
        <w:t xml:space="preserve">, </w:t>
      </w:r>
      <w:r>
        <w:rPr>
          <w:i/>
          <w:iCs/>
        </w:rPr>
        <w:t>A</w:t>
      </w:r>
      <w:r>
        <w:rPr>
          <w:vertAlign w:val="subscript"/>
        </w:rPr>
        <w:t>2</w:t>
      </w:r>
      <w:r>
        <w:t xml:space="preserve">, …, </w:t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m</w:t>
      </w:r>
      <w:proofErr w:type="spellEnd"/>
      <w:r>
        <w:t>}.</w:t>
      </w:r>
      <w:r w:rsidR="00771264" w:rsidRPr="00771264">
        <w:t xml:space="preserve"> </w:t>
      </w:r>
      <w:r>
        <w:t>Метод самосогласованности SC помогает выбрать наиболее согласованный ответ из нескольких сгенерированных вариантов, что повышает надёжность результата. Он направлен на повышение надёжности ответа за счёт генерации нескольких вариантов решения и выбора наиболее частого из них. Этот подход минимизирует влияние случайных ошибок и часто используется в комбинации с другими методами [</w:t>
      </w:r>
      <w:r w:rsidR="004405BA">
        <w:t>7</w:t>
      </w:r>
      <w:r>
        <w:t>].</w:t>
      </w:r>
    </w:p>
    <w:p w14:paraId="2784BE48" w14:textId="77777777" w:rsidR="008B5461" w:rsidRDefault="005C28A4" w:rsidP="00C579A4">
      <w:pPr>
        <w:pStyle w:val="ab"/>
      </w:pPr>
      <w:r>
        <w:t xml:space="preserve">Приведенные описания методов позволяют просто оценить вычислительные затраты </w:t>
      </w:r>
      <w:r>
        <w:rPr>
          <w:i/>
          <w:iCs/>
        </w:rPr>
        <w:t>R</w:t>
      </w:r>
      <w:r>
        <w:t xml:space="preserve"> каждой стратегии </w:t>
      </w:r>
      <w:r>
        <w:rPr>
          <w:i/>
          <w:iCs/>
        </w:rPr>
        <w:t>S</w:t>
      </w:r>
      <w:r>
        <w:t>.</w:t>
      </w:r>
    </w:p>
    <w:p w14:paraId="3CE99E71" w14:textId="77777777" w:rsidR="00EA4858" w:rsidRDefault="005C28A4" w:rsidP="00EA4858">
      <w:pPr>
        <w:pStyle w:val="ab"/>
        <w:rPr>
          <w:lang w:val="en-US"/>
        </w:rPr>
      </w:pPr>
      <w:r>
        <w:t xml:space="preserve">Метод </w:t>
      </w:r>
      <w:proofErr w:type="spellStart"/>
      <w:r>
        <w:t>CoT</w:t>
      </w:r>
      <w:proofErr w:type="spellEnd"/>
      <w:r>
        <w:t xml:space="preserve"> предполагает генерацию последовательности промежуточных рассуждений, где каждый шаг зависит от предыдущего. Пусть </w:t>
      </w:r>
      <w:r>
        <w:rPr>
          <w:i/>
          <w:iCs/>
        </w:rPr>
        <w:t>n</w:t>
      </w:r>
      <w:r>
        <w:t xml:space="preserve"> </w:t>
      </w:r>
      <w:r w:rsidR="004F64A9">
        <w:t>–</w:t>
      </w:r>
      <w:r>
        <w:t xml:space="preserve"> количество шагов (промежуточных рассуждений). Каждый шаг требует одного прохода через модель для генерации следующего рассуждения. Таким образом, вычислительная стоимость </w:t>
      </w:r>
      <w:proofErr w:type="spellStart"/>
      <w:r>
        <w:t>CoT</w:t>
      </w:r>
      <w:proofErr w:type="spellEnd"/>
      <w:r>
        <w:t xml:space="preserve"> линейно зависит от количества шагов:</w:t>
      </w:r>
    </w:p>
    <w:p w14:paraId="2A84A4D4" w14:textId="697036E8" w:rsidR="008B5461" w:rsidRDefault="005C28A4" w:rsidP="00EA4858">
      <w:pPr>
        <w:pStyle w:val="ab"/>
        <w:spacing w:before="120"/>
        <w:jc w:val="center"/>
      </w:pPr>
      <m:oMath>
        <m:r>
          <w:rPr>
            <w:rFonts w:ascii="Cambria Math" w:eastAsia="Cambria Math" w:hAnsi="Cambria Math" w:cs="Cambria Math"/>
          </w:rPr>
          <m:t>R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CoT</m:t>
            </m:r>
          </m:e>
        </m:d>
        <m:r>
          <w:rPr>
            <w:rFonts w:ascii="Cambria Math" w:eastAsia="Cambria Math" w:hAnsi="Cambria Math" w:cs="Cambria Math"/>
          </w:rPr>
          <m:t>=O(n)</m:t>
        </m:r>
      </m:oMath>
      <w:r>
        <w:t>.</w:t>
      </w:r>
    </w:p>
    <w:p w14:paraId="3DB4163C" w14:textId="5C0072BB" w:rsidR="008B5461" w:rsidRDefault="005C28A4" w:rsidP="00EA4858">
      <w:pPr>
        <w:pStyle w:val="ab"/>
      </w:pPr>
      <w:r>
        <w:t xml:space="preserve">Метод </w:t>
      </w:r>
      <w:proofErr w:type="spellStart"/>
      <w:r>
        <w:t>ToT</w:t>
      </w:r>
      <w:proofErr w:type="spellEnd"/>
      <w:r>
        <w:t xml:space="preserve"> предполагает построение дерева рассуждений, где каждый узел </w:t>
      </w:r>
      <w:r w:rsidR="004F64A9">
        <w:t>–</w:t>
      </w:r>
      <w:r>
        <w:t xml:space="preserve"> это промежуточный вывод, а рёбра </w:t>
      </w:r>
      <w:r w:rsidR="004F64A9">
        <w:t>–</w:t>
      </w:r>
      <w:r>
        <w:t xml:space="preserve"> переходы между выводами. Модель исследует несколько путей одновременно. Пусть </w:t>
      </w:r>
      <w:r>
        <w:rPr>
          <w:i/>
          <w:iCs/>
        </w:rPr>
        <w:t>b</w:t>
      </w:r>
      <w:r>
        <w:t xml:space="preserve"> </w:t>
      </w:r>
      <w:r w:rsidR="004F64A9">
        <w:t>–</w:t>
      </w:r>
      <w:r>
        <w:t xml:space="preserve"> ветвистость дерева (количество возможных переходов из каждого узла), а </w:t>
      </w:r>
      <w:r>
        <w:rPr>
          <w:i/>
          <w:iCs/>
        </w:rPr>
        <w:t>d</w:t>
      </w:r>
      <w:r>
        <w:t xml:space="preserve"> </w:t>
      </w:r>
      <w:r w:rsidR="004F64A9">
        <w:t>–</w:t>
      </w:r>
      <w:r>
        <w:t xml:space="preserve"> глубина дерева (максимальное количество шагов от корня до листа). Каждый узел на каждом уровне требует вычислений, и общее количество узлов в дереве экспоненциально зависит от глубины и ветвистости: </w:t>
      </w:r>
      <m:oMath>
        <m:r>
          <w:rPr>
            <w:rFonts w:ascii="Cambria Math" w:eastAsia="Cambria Math" w:hAnsi="Cambria Math" w:cs="Cambria Math"/>
          </w:rPr>
          <m:t>R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ToT</m:t>
            </m:r>
          </m:e>
        </m:d>
        <m:r>
          <w:rPr>
            <w:rFonts w:ascii="Cambria Math" w:eastAsia="Cambria Math" w:hAnsi="Cambria Math" w:cs="Cambria Math"/>
          </w:rPr>
          <m:t>=O(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b</m:t>
            </m:r>
          </m:e>
          <m:sup>
            <m:r>
              <w:rPr>
                <w:rFonts w:ascii="Cambria Math" w:eastAsia="Cambria Math" w:hAnsi="Cambria Math" w:cs="Cambria Math"/>
              </w:rPr>
              <m:t>d</m:t>
            </m:r>
          </m:sup>
        </m:sSup>
        <m:r>
          <w:rPr>
            <w:rFonts w:ascii="Cambria Math" w:eastAsia="Cambria Math" w:hAnsi="Cambria Math" w:cs="Cambria Math"/>
          </w:rPr>
          <m:t>)</m:t>
        </m:r>
      </m:oMath>
      <w:r>
        <w:t>.</w:t>
      </w:r>
    </w:p>
    <w:p w14:paraId="0B5785B9" w14:textId="77777777" w:rsidR="00C81103" w:rsidRDefault="005C28A4" w:rsidP="00EA4858">
      <w:pPr>
        <w:pStyle w:val="ab"/>
      </w:pPr>
      <w:r>
        <w:t xml:space="preserve">Метод </w:t>
      </w:r>
      <w:proofErr w:type="spellStart"/>
      <w:r>
        <w:t>LtM</w:t>
      </w:r>
      <w:proofErr w:type="spellEnd"/>
      <w:r>
        <w:t xml:space="preserve"> разбивает сложную задачу на последовательность простых подзадач, решаемых поочерёдно. Пусть </w:t>
      </w:r>
      <w:r>
        <w:rPr>
          <w:i/>
          <w:iCs/>
        </w:rPr>
        <w:t>k</w:t>
      </w:r>
      <w:r>
        <w:t xml:space="preserve"> </w:t>
      </w:r>
      <w:r w:rsidR="004F64A9">
        <w:t>–</w:t>
      </w:r>
      <w:r>
        <w:t xml:space="preserve"> количество подзадач. Каждая подзадача требует одного или нескольких проходов через модель. Общая стоимость зависит от количества подзадач и их сложности:</w:t>
      </w:r>
    </w:p>
    <w:p w14:paraId="3B2AF8B3" w14:textId="6139A0B9" w:rsidR="00C81103" w:rsidRDefault="005C28A4" w:rsidP="00EA4858">
      <w:pPr>
        <w:pStyle w:val="ab"/>
        <w:spacing w:before="120"/>
        <w:jc w:val="center"/>
      </w:pPr>
      <m:oMath>
        <m:r>
          <w:rPr>
            <w:rFonts w:ascii="Cambria Math" w:eastAsia="Cambria Math" w:hAnsi="Cambria Math" w:cs="Cambria Math"/>
          </w:rPr>
          <m:t>R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LtM</m:t>
            </m:r>
          </m:e>
        </m:d>
        <m:r>
          <w:rPr>
            <w:rFonts w:ascii="Cambria Math" w:eastAsia="Cambria Math" w:hAnsi="Cambria Math" w:cs="Cambria Math"/>
          </w:rPr>
          <m:t>=O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k∙m</m:t>
            </m:r>
          </m:e>
        </m:d>
      </m:oMath>
      <w:r>
        <w:t>,</w:t>
      </w:r>
    </w:p>
    <w:p w14:paraId="40C5BEA2" w14:textId="21015315" w:rsidR="008B5461" w:rsidRDefault="005C28A4" w:rsidP="00EA4858">
      <w:pPr>
        <w:pStyle w:val="ab"/>
        <w:ind w:firstLine="0"/>
        <w:rPr>
          <w:i/>
          <w:iCs/>
        </w:rPr>
      </w:pPr>
      <w:r>
        <w:t xml:space="preserve">где </w:t>
      </w:r>
      <w:r>
        <w:rPr>
          <w:i/>
          <w:iCs/>
        </w:rPr>
        <w:t>m</w:t>
      </w:r>
      <w:r>
        <w:t xml:space="preserve"> </w:t>
      </w:r>
      <w:r w:rsidR="004F64A9">
        <w:t>–</w:t>
      </w:r>
      <w:r>
        <w:t xml:space="preserve"> среднее количество шагов для решения одной подзадачи.</w:t>
      </w:r>
    </w:p>
    <w:p w14:paraId="7D2F2796" w14:textId="17BC91D4" w:rsidR="008B5461" w:rsidRDefault="005C28A4" w:rsidP="00EA4858">
      <w:pPr>
        <w:pStyle w:val="ab"/>
      </w:pPr>
      <w:r>
        <w:t xml:space="preserve">Метод SC предполагает генерацию нескольких вариантов ответа и выбор наиболее согласованного. Пусть </w:t>
      </w:r>
      <w:r>
        <w:rPr>
          <w:i/>
          <w:iCs/>
        </w:rPr>
        <w:t>m</w:t>
      </w:r>
      <w:r>
        <w:t xml:space="preserve"> </w:t>
      </w:r>
      <w:r w:rsidR="004F64A9">
        <w:t>–</w:t>
      </w:r>
      <w:r>
        <w:t xml:space="preserve"> количество сгенерированных вариантов ответа. Каждый вариант требует полного прохода через модель. Общая стоимость линейно зависит от количества вариантов: </w:t>
      </w:r>
      <m:oMath>
        <m:r>
          <w:rPr>
            <w:rFonts w:ascii="Cambria Math" w:eastAsia="Cambria Math" w:hAnsi="Cambria Math" w:cs="Cambria Math"/>
          </w:rPr>
          <m:t>R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SC</m:t>
            </m:r>
          </m:e>
        </m:d>
        <m:r>
          <w:rPr>
            <w:rFonts w:ascii="Cambria Math" w:eastAsia="Cambria Math" w:hAnsi="Cambria Math" w:cs="Cambria Math"/>
          </w:rPr>
          <m:t>=O(m)</m:t>
        </m:r>
      </m:oMath>
      <w:r>
        <w:t>.</w:t>
      </w:r>
    </w:p>
    <w:p w14:paraId="150EA46C" w14:textId="77777777" w:rsidR="008B5461" w:rsidRDefault="005C28A4" w:rsidP="00EA4858">
      <w:pPr>
        <w:pStyle w:val="ab"/>
      </w:pPr>
      <w:r>
        <w:t xml:space="preserve">Задача адаптивного модуля логического вывода состоит в минимизации вычислительных затрат </w:t>
      </w:r>
      <w:r>
        <w:rPr>
          <w:i/>
          <w:iCs/>
        </w:rPr>
        <w:t>R</w:t>
      </w:r>
      <w:r>
        <w:t>(</w:t>
      </w:r>
      <w:r>
        <w:rPr>
          <w:i/>
          <w:iCs/>
        </w:rPr>
        <w:t>S</w:t>
      </w:r>
      <w:r>
        <w:t xml:space="preserve">) стратегии </w:t>
      </w:r>
      <w:r>
        <w:rPr>
          <w:i/>
          <w:iCs/>
        </w:rPr>
        <w:t xml:space="preserve">S </w:t>
      </w:r>
      <w:r>
        <w:t>при сохранении точности.</w:t>
      </w:r>
    </w:p>
    <w:p w14:paraId="6DC691AF" w14:textId="77777777" w:rsidR="008B5461" w:rsidRDefault="005C28A4">
      <w:pPr>
        <w:pStyle w:val="1"/>
        <w:numPr>
          <w:ilvl w:val="0"/>
          <w:numId w:val="2"/>
        </w:numPr>
      </w:pPr>
      <w:r>
        <w:t>Модуль логического вывода</w:t>
      </w:r>
    </w:p>
    <w:p w14:paraId="75CFC73B" w14:textId="3776DDCC" w:rsidR="008B5461" w:rsidRDefault="005C28A4" w:rsidP="00EA4858">
      <w:pPr>
        <w:pStyle w:val="ab"/>
      </w:pPr>
      <w:r>
        <w:t xml:space="preserve">Предлагаемый модуль логического вывода функционирует как надстройка над базовой языковой моделью. Его основная задача </w:t>
      </w:r>
      <w:r w:rsidR="004F64A9">
        <w:t>–</w:t>
      </w:r>
      <w:r>
        <w:t xml:space="preserve"> анализ входного запроса, выбор оптимальной стратегии генерации и оценка качества промежуточных результатов. </w:t>
      </w:r>
      <w:r>
        <w:lastRenderedPageBreak/>
        <w:t xml:space="preserve">Архитектура модуля является </w:t>
      </w:r>
      <w:r w:rsidR="002304D1">
        <w:t>блочной</w:t>
      </w:r>
      <w:r>
        <w:t>, что позволяет легко добавлять новые стратегии.</w:t>
      </w:r>
    </w:p>
    <w:p w14:paraId="3F1B0890" w14:textId="77777777" w:rsidR="008B5461" w:rsidRDefault="005C28A4" w:rsidP="00EA4858">
      <w:pPr>
        <w:pStyle w:val="ab"/>
      </w:pPr>
      <w:r>
        <w:t>Разработанный модуль логического вывода реализован в виде надстройки над базовой языковой моделью и выполняет три основные функции: анализ входного запроса, выбор оптимальной стратегии генерации и оценку качества промежуточных результатов. Модульная архитектура обеспечивает возможность расширения набора используемых стратегий.</w:t>
      </w:r>
    </w:p>
    <w:p w14:paraId="0B2445F8" w14:textId="77777777" w:rsidR="008B5461" w:rsidRDefault="005C28A4" w:rsidP="00EA4858">
      <w:pPr>
        <w:pStyle w:val="ab"/>
      </w:pPr>
      <w:r>
        <w:t>На первом этапе осуществляется классификация запроса на основе анализа его семантических и структурных характеристик, а также предполагаемого уровня сложности. Для этой цели может применяться компактная классифицирующая модель либо набор эвристических правил. В частности, запросы, содержащие числовые данные или логические операторы, относятся к категории задач, требующих применения более ресурсоёмких стратегий.</w:t>
      </w:r>
    </w:p>
    <w:p w14:paraId="099D03C7" w14:textId="77777777" w:rsidR="008B5461" w:rsidRDefault="005C28A4" w:rsidP="00EA4858">
      <w:pPr>
        <w:pStyle w:val="ab"/>
      </w:pPr>
      <w:r>
        <w:t>Второй этап включает активацию механизма выбора стратегии в соответствии с результатами классификации. При снижении уверенности модели в корректности промежуточных выводов предусмотрена возможность динамического переключения на альтернативную стратегию.</w:t>
      </w:r>
    </w:p>
    <w:p w14:paraId="67A6A41C" w14:textId="77777777" w:rsidR="008B5461" w:rsidRDefault="005C28A4" w:rsidP="00EA4858">
      <w:pPr>
        <w:pStyle w:val="ab"/>
      </w:pPr>
      <w:r>
        <w:t>На третьем этапе производится оценка сгенерированного ответа по критериям логической согласованности, соответствия исходному запросу и уверенности модели. Используемые метрики базируются на вероятностях токенов либо семантическом сходстве. В случае недостаточного качества ответа процесс генерации может быть повторен с применением иной стратегии.</w:t>
      </w:r>
    </w:p>
    <w:p w14:paraId="7EF2B690" w14:textId="77777777" w:rsidR="008B5461" w:rsidRDefault="005C28A4" w:rsidP="00EA4858">
      <w:pPr>
        <w:pStyle w:val="ab"/>
      </w:pPr>
      <w:r>
        <w:t>Предложенный подход обеспечивает эффективное распределение вычислительных ресурсов: простые стратегии применяются для задач низкой сложности, тогда как сложные методы резервируются для случаев, требующих углублённого анализа.</w:t>
      </w:r>
    </w:p>
    <w:p w14:paraId="3C7DE765" w14:textId="77777777" w:rsidR="008B5461" w:rsidRDefault="005C28A4">
      <w:pPr>
        <w:pStyle w:val="1"/>
        <w:numPr>
          <w:ilvl w:val="0"/>
          <w:numId w:val="2"/>
        </w:numPr>
      </w:pPr>
      <w:r>
        <w:t>Методы оптимизации и адаптации модели</w:t>
      </w:r>
    </w:p>
    <w:p w14:paraId="4522E090" w14:textId="77777777" w:rsidR="008B5461" w:rsidRDefault="005C28A4" w:rsidP="00EA4858">
      <w:pPr>
        <w:pStyle w:val="ab"/>
      </w:pPr>
      <w:r>
        <w:t xml:space="preserve">Для адаптации базовой языковой модели к решению конкретных классов задач целесообразно применение методов параметрически эффективной настройки, в частности </w:t>
      </w:r>
      <w:proofErr w:type="spellStart"/>
      <w:r>
        <w:t>низкоранговой</w:t>
      </w:r>
      <w:proofErr w:type="spellEnd"/>
      <w:r>
        <w:t xml:space="preserve"> адаптации (</w:t>
      </w:r>
      <w:proofErr w:type="spellStart"/>
      <w:r>
        <w:t>LoRA</w:t>
      </w:r>
      <w:proofErr w:type="spellEnd"/>
      <w:r>
        <w:t xml:space="preserve">) [9]. В отличие от полного </w:t>
      </w:r>
      <w:proofErr w:type="spellStart"/>
      <w:r>
        <w:t>дообучения</w:t>
      </w:r>
      <w:proofErr w:type="spellEnd"/>
      <w:r>
        <w:t xml:space="preserve"> всех параметров, </w:t>
      </w:r>
      <w:proofErr w:type="spellStart"/>
      <w:r>
        <w:t>LoRA</w:t>
      </w:r>
      <w:proofErr w:type="spellEnd"/>
      <w:r>
        <w:t xml:space="preserve"> предусматривает внедрение в архитектуру модели небольших обучаемых адаптеров, настраиваемых под специфику целевых задач. Такой подход позволяет существенно сократить вычислительные затраты и время обучения.</w:t>
      </w:r>
    </w:p>
    <w:p w14:paraId="660DCA1A" w14:textId="77777777" w:rsidR="008B5461" w:rsidRDefault="005C28A4" w:rsidP="00EA4858">
      <w:pPr>
        <w:pStyle w:val="ab"/>
      </w:pPr>
      <w:r>
        <w:t xml:space="preserve">Дальнейшим развитием данной концепции является архитектура </w:t>
      </w:r>
      <w:proofErr w:type="spellStart"/>
      <w:r>
        <w:t>LoRA-MoE</w:t>
      </w:r>
      <w:proofErr w:type="spellEnd"/>
      <w:r>
        <w:t>, основанная на принципе «смеси экспертов» (</w:t>
      </w:r>
      <w:proofErr w:type="spellStart"/>
      <w:r>
        <w:t>Mixture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Experts</w:t>
      </w:r>
      <w:proofErr w:type="spellEnd"/>
      <w:r>
        <w:t>) [10]. В рамках этой архитектуры для каждого типа задач создаётся отдельный адаптер-«эксперт», а специализированный механизм маршрутизации динамически выбирает необходимый адаптер в зависимости от входных данных. Это обеспечивает масштабирование системы на множество задач без пропорционального увеличения потребляемой памяти.</w:t>
      </w:r>
    </w:p>
    <w:p w14:paraId="3D485B63" w14:textId="1BE6CC98" w:rsidR="00771264" w:rsidRDefault="005C28A4" w:rsidP="00EA4858">
      <w:pPr>
        <w:pStyle w:val="ab"/>
        <w:spacing w:before="120"/>
        <w:ind w:firstLine="0"/>
      </w:pPr>
      <w:r>
        <w:rPr>
          <w:noProof/>
          <w:lang w:eastAsia="ru-RU"/>
        </w:rPr>
        <w:lastRenderedPageBreak/>
        <w:drawing>
          <wp:inline distT="114300" distB="114300" distL="114300" distR="114300" wp14:anchorId="03501F08" wp14:editId="22F3F87C">
            <wp:extent cx="2997642" cy="2138901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757" cy="2171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CCF6A" w14:textId="09085D80" w:rsidR="008B5461" w:rsidRDefault="00771264" w:rsidP="00EA4858">
      <w:pPr>
        <w:pStyle w:val="a"/>
        <w:rPr>
          <w:szCs w:val="16"/>
        </w:rPr>
      </w:pPr>
      <w:r w:rsidRPr="00EA4858">
        <w:t>Зависимость</w:t>
      </w:r>
      <w:r>
        <w:rPr>
          <w:szCs w:val="16"/>
        </w:rPr>
        <w:t xml:space="preserve"> т</w:t>
      </w:r>
      <w:r w:rsidR="005C28A4">
        <w:rPr>
          <w:szCs w:val="16"/>
        </w:rPr>
        <w:t>очност</w:t>
      </w:r>
      <w:r>
        <w:rPr>
          <w:szCs w:val="16"/>
        </w:rPr>
        <w:t>и</w:t>
      </w:r>
      <w:r w:rsidR="005C28A4">
        <w:rPr>
          <w:szCs w:val="16"/>
        </w:rPr>
        <w:t xml:space="preserve"> ответов от сложности задачи</w:t>
      </w:r>
    </w:p>
    <w:p w14:paraId="3B7E15E7" w14:textId="18D0F281" w:rsidR="008B5461" w:rsidRDefault="005C28A4" w:rsidP="00EA4858">
      <w:pPr>
        <w:pStyle w:val="ab"/>
      </w:pPr>
      <w:r>
        <w:t>На рис</w:t>
      </w:r>
      <w:r w:rsidR="00771264" w:rsidRPr="00771264">
        <w:t>.</w:t>
      </w:r>
      <w:r w:rsidR="00C675F2">
        <w:t> </w:t>
      </w:r>
      <w:r>
        <w:t xml:space="preserve">2 каждая точка соответствует одному запросу. Время </w:t>
      </w:r>
      <w:proofErr w:type="spellStart"/>
      <w:r>
        <w:t>инференса</w:t>
      </w:r>
      <w:proofErr w:type="spellEnd"/>
      <w:r>
        <w:t xml:space="preserve"> измеряется на компактной языковой модели (7–8 млрд параметров) и включает генерацию всех промежуточных шагов.</w:t>
      </w:r>
    </w:p>
    <w:p w14:paraId="6F1B257E" w14:textId="77777777" w:rsidR="008B5461" w:rsidRDefault="005C28A4" w:rsidP="00EA4858">
      <w:pPr>
        <w:pStyle w:val="ab"/>
      </w:pPr>
      <w:r>
        <w:t xml:space="preserve">Для стратегии </w:t>
      </w:r>
      <w:proofErr w:type="spellStart"/>
      <w:r>
        <w:t>ToT</w:t>
      </w:r>
      <w:proofErr w:type="spellEnd"/>
      <w:r>
        <w:t xml:space="preserve"> наблюдается слабый положительный тренд: увеличение времени (соответствующее более сложным задачам) сопровождается незначительным ростом точности, что отражает способность метода древовидного перебора эффективно использовать дополнительные вычислительные ресурсы. В противоположность этому, у </w:t>
      </w:r>
      <w:proofErr w:type="spellStart"/>
      <w:r>
        <w:t>CoT</w:t>
      </w:r>
      <w:proofErr w:type="spellEnd"/>
      <w:r>
        <w:t xml:space="preserve"> точность с ростом времени снижается: на простых задачах (малое время) метод демонстрирует высокие результаты, но при увеличении сложности (большое время) накопление ошибок в длинных цепочках рассуждений приводит к падению точности до 75–80%.</w:t>
      </w:r>
    </w:p>
    <w:p w14:paraId="7F7A4629" w14:textId="7047F817" w:rsidR="008B5461" w:rsidRDefault="005C28A4" w:rsidP="00EA4858">
      <w:pPr>
        <w:pStyle w:val="ab"/>
      </w:pPr>
      <w:r>
        <w:t xml:space="preserve">Адаптивная стратегия объединяет преимущества обоих подходов: на запросах, классифицированных как простые (время до 200 </w:t>
      </w:r>
      <w:proofErr w:type="spellStart"/>
      <w:r>
        <w:t>мс</w:t>
      </w:r>
      <w:proofErr w:type="spellEnd"/>
      <w:r>
        <w:t xml:space="preserve">), она использует </w:t>
      </w:r>
      <w:proofErr w:type="spellStart"/>
      <w:r>
        <w:t>CoT</w:t>
      </w:r>
      <w:proofErr w:type="spellEnd"/>
      <w:r>
        <w:t xml:space="preserve"> и обеспечивает точность 93–97%; на сложных запросах (время более 250 мс) происходит переключение на </w:t>
      </w:r>
      <w:proofErr w:type="spellStart"/>
      <w:r>
        <w:t>ToT</w:t>
      </w:r>
      <w:proofErr w:type="spellEnd"/>
      <w:r>
        <w:t xml:space="preserve">, и точность возвращается к уровню базовой системы (94–98%). При этом адаптивный модуль полностью избегает областей низкой эффективности </w:t>
      </w:r>
      <w:r w:rsidR="004F64A9">
        <w:t>–</w:t>
      </w:r>
      <w:r>
        <w:t xml:space="preserve"> быстрых, но неточных ответов и медленных, но неточных, </w:t>
      </w:r>
      <w:r w:rsidR="004F64A9">
        <w:t>–</w:t>
      </w:r>
      <w:r>
        <w:t xml:space="preserve"> что подтверждает успешность предложенного механизма выбора стратегии.</w:t>
      </w:r>
    </w:p>
    <w:p w14:paraId="10E2889C" w14:textId="4F516C53" w:rsidR="008B5461" w:rsidRPr="00F2435C" w:rsidRDefault="00525F12" w:rsidP="00F2435C">
      <w:pPr>
        <w:pStyle w:val="ab"/>
        <w:rPr>
          <w:shd w:val="clear" w:color="auto" w:fill="FFFFFF"/>
        </w:rPr>
      </w:pPr>
      <w:r w:rsidRPr="00F2435C">
        <w:rPr>
          <w:shd w:val="clear" w:color="auto" w:fill="FFFFFF"/>
        </w:rPr>
        <w:t>Результат работы классификатора, который на основе анализа семантики и структуры входного запроса относит его к одной из двух категорий: «простые» (требующие не более четырех промежуточных шагов) или «сложные» (требующие более глубокого анализа) представлен на рис. 3. Для простых запросов (70% от общего числа) модуль активирует стратегию цепочек рассуждений (</w:t>
      </w:r>
      <w:proofErr w:type="spellStart"/>
      <w:r w:rsidRPr="00C675F2">
        <w:rPr>
          <w:shd w:val="clear" w:color="auto" w:fill="FFFFFF"/>
        </w:rPr>
        <w:t>Chain</w:t>
      </w:r>
      <w:r w:rsidRPr="00C675F2">
        <w:rPr>
          <w:rFonts w:ascii="Cambria Math" w:hAnsi="Cambria Math" w:cs="Cambria Math"/>
          <w:shd w:val="clear" w:color="auto" w:fill="FFFFFF"/>
        </w:rPr>
        <w:t>‑</w:t>
      </w:r>
      <w:r w:rsidRPr="00C675F2">
        <w:rPr>
          <w:shd w:val="clear" w:color="auto" w:fill="FFFFFF"/>
        </w:rPr>
        <w:t>of</w:t>
      </w:r>
      <w:r w:rsidRPr="00C675F2">
        <w:rPr>
          <w:rFonts w:ascii="Cambria Math" w:hAnsi="Cambria Math" w:cs="Cambria Math"/>
          <w:shd w:val="clear" w:color="auto" w:fill="FFFFFF"/>
        </w:rPr>
        <w:t>‑</w:t>
      </w:r>
      <w:r w:rsidRPr="00C675F2">
        <w:rPr>
          <w:shd w:val="clear" w:color="auto" w:fill="FFFFFF"/>
        </w:rPr>
        <w:t>Thought</w:t>
      </w:r>
      <w:proofErr w:type="spellEnd"/>
      <w:r w:rsidRPr="00C675F2">
        <w:rPr>
          <w:shd w:val="clear" w:color="auto" w:fill="FFFFFF"/>
        </w:rPr>
        <w:t xml:space="preserve">, </w:t>
      </w:r>
      <w:proofErr w:type="spellStart"/>
      <w:r w:rsidRPr="00C675F2">
        <w:rPr>
          <w:shd w:val="clear" w:color="auto" w:fill="FFFFFF"/>
        </w:rPr>
        <w:t>CoT</w:t>
      </w:r>
      <w:proofErr w:type="spellEnd"/>
      <w:r w:rsidRPr="00C675F2">
        <w:rPr>
          <w:shd w:val="clear" w:color="auto" w:fill="FFFFFF"/>
        </w:rPr>
        <w:t>), обеспечивающую низкие вычислительные затраты при сохранении высокой точности. Сложные запросы (30%) обрабатываются с использованием дерева рассуждений (</w:t>
      </w:r>
      <w:proofErr w:type="spellStart"/>
      <w:r w:rsidRPr="00C675F2">
        <w:rPr>
          <w:shd w:val="clear" w:color="auto" w:fill="FFFFFF"/>
        </w:rPr>
        <w:t>Tree</w:t>
      </w:r>
      <w:r w:rsidRPr="00C675F2">
        <w:rPr>
          <w:rFonts w:ascii="Cambria Math" w:hAnsi="Cambria Math" w:cs="Cambria Math"/>
          <w:shd w:val="clear" w:color="auto" w:fill="FFFFFF"/>
        </w:rPr>
        <w:t>‑</w:t>
      </w:r>
      <w:r w:rsidRPr="00C675F2">
        <w:rPr>
          <w:shd w:val="clear" w:color="auto" w:fill="FFFFFF"/>
        </w:rPr>
        <w:t>of</w:t>
      </w:r>
      <w:r w:rsidRPr="00C675F2">
        <w:rPr>
          <w:rFonts w:ascii="Cambria Math" w:hAnsi="Cambria Math" w:cs="Cambria Math"/>
          <w:shd w:val="clear" w:color="auto" w:fill="FFFFFF"/>
        </w:rPr>
        <w:t>‑</w:t>
      </w:r>
      <w:r w:rsidRPr="00C675F2">
        <w:rPr>
          <w:shd w:val="clear" w:color="auto" w:fill="FFFFFF"/>
        </w:rPr>
        <w:t>Thought</w:t>
      </w:r>
      <w:proofErr w:type="spellEnd"/>
      <w:r w:rsidRPr="00C675F2">
        <w:rPr>
          <w:shd w:val="clear" w:color="auto" w:fill="FFFFFF"/>
        </w:rPr>
        <w:t xml:space="preserve">, </w:t>
      </w:r>
      <w:proofErr w:type="spellStart"/>
      <w:r w:rsidRPr="00C675F2">
        <w:rPr>
          <w:shd w:val="clear" w:color="auto" w:fill="FFFFFF"/>
        </w:rPr>
        <w:t>ToT</w:t>
      </w:r>
      <w:proofErr w:type="spellEnd"/>
      <w:r w:rsidRPr="00C675F2">
        <w:rPr>
          <w:shd w:val="clear" w:color="auto" w:fill="FFFFFF"/>
        </w:rPr>
        <w:t>), что позволяет достичь максимальной точности ценой умеренного уве</w:t>
      </w:r>
      <w:r w:rsidRPr="00F2435C">
        <w:rPr>
          <w:shd w:val="clear" w:color="auto" w:fill="FFFFFF"/>
        </w:rPr>
        <w:t xml:space="preserve">личения времени </w:t>
      </w:r>
      <w:proofErr w:type="spellStart"/>
      <w:r w:rsidRPr="00F2435C">
        <w:rPr>
          <w:shd w:val="clear" w:color="auto" w:fill="FFFFFF"/>
        </w:rPr>
        <w:t>инференса</w:t>
      </w:r>
      <w:proofErr w:type="spellEnd"/>
      <w:r w:rsidRPr="00F2435C">
        <w:rPr>
          <w:shd w:val="clear" w:color="auto" w:fill="FFFFFF"/>
        </w:rPr>
        <w:t>.</w:t>
      </w:r>
    </w:p>
    <w:p w14:paraId="5D9F89EF" w14:textId="77777777" w:rsidR="008B5461" w:rsidRPr="00F2435C" w:rsidRDefault="005C28A4" w:rsidP="00EA4858">
      <w:pPr>
        <w:pStyle w:val="ab"/>
        <w:spacing w:before="120"/>
        <w:ind w:firstLine="0"/>
        <w:jc w:val="center"/>
        <w:rPr>
          <w:shd w:val="clear" w:color="auto" w:fill="FFFFFF"/>
        </w:rPr>
      </w:pPr>
      <w:r w:rsidRPr="00F2435C">
        <w:rPr>
          <w:noProof/>
          <w:shd w:val="clear" w:color="auto" w:fill="FFFFFF"/>
          <w:lang w:eastAsia="ru-RU"/>
        </w:rPr>
        <w:lastRenderedPageBreak/>
        <w:drawing>
          <wp:inline distT="114300" distB="114300" distL="114300" distR="114300" wp14:anchorId="60B5AAAC" wp14:editId="04907AAD">
            <wp:extent cx="2957474" cy="1637969"/>
            <wp:effectExtent l="0" t="0" r="0" b="63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52" cy="1647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B77AE" w14:textId="738D6433" w:rsidR="008B5461" w:rsidRDefault="005C28A4" w:rsidP="00EA4858">
      <w:pPr>
        <w:pStyle w:val="a"/>
        <w:rPr>
          <w:szCs w:val="16"/>
        </w:rPr>
      </w:pPr>
      <w:r w:rsidRPr="00EA4858">
        <w:t>З</w:t>
      </w:r>
      <w:r w:rsidR="00771264" w:rsidRPr="00EA4858">
        <w:t>ависимость</w:t>
      </w:r>
      <w:r w:rsidR="00771264" w:rsidRPr="00F2435C">
        <w:rPr>
          <w:shd w:val="clear" w:color="auto" w:fill="FFFFFF"/>
        </w:rPr>
        <w:t xml:space="preserve"> т</w:t>
      </w:r>
      <w:r w:rsidRPr="00F2435C">
        <w:rPr>
          <w:shd w:val="clear" w:color="auto" w:fill="FFFFFF"/>
        </w:rPr>
        <w:t>очност</w:t>
      </w:r>
      <w:r w:rsidR="00771264" w:rsidRPr="00F2435C">
        <w:rPr>
          <w:shd w:val="clear" w:color="auto" w:fill="FFFFFF"/>
        </w:rPr>
        <w:t>и</w:t>
      </w:r>
      <w:r w:rsidRPr="00F2435C">
        <w:rPr>
          <w:shd w:val="clear" w:color="auto" w:fill="FFFFFF"/>
        </w:rPr>
        <w:t xml:space="preserve"> ответов от времени </w:t>
      </w:r>
      <w:proofErr w:type="spellStart"/>
      <w:r w:rsidRPr="00F2435C">
        <w:rPr>
          <w:shd w:val="clear" w:color="auto" w:fill="FFFFFF"/>
        </w:rPr>
        <w:t>инференса</w:t>
      </w:r>
      <w:proofErr w:type="spellEnd"/>
    </w:p>
    <w:p w14:paraId="3A81E2F8" w14:textId="77777777" w:rsidR="008B5461" w:rsidRDefault="005C28A4">
      <w:pPr>
        <w:pStyle w:val="1"/>
        <w:numPr>
          <w:ilvl w:val="0"/>
          <w:numId w:val="2"/>
        </w:numPr>
        <w:tabs>
          <w:tab w:val="left" w:pos="216"/>
        </w:tabs>
        <w:ind w:firstLine="0"/>
      </w:pPr>
      <w:r>
        <w:t>Заключение</w:t>
      </w:r>
    </w:p>
    <w:p w14:paraId="23ED2461" w14:textId="77777777" w:rsidR="008B5461" w:rsidRPr="0067295D" w:rsidRDefault="005C28A4" w:rsidP="0067295D">
      <w:pPr>
        <w:pStyle w:val="ab"/>
        <w:rPr>
          <w:shd w:val="clear" w:color="auto" w:fill="FFFFFF"/>
        </w:rPr>
      </w:pPr>
      <w:r w:rsidRPr="0067295D">
        <w:rPr>
          <w:shd w:val="clear" w:color="auto" w:fill="FFFFFF"/>
        </w:rPr>
        <w:t>В работе предложен и обоснован подход к динамическому управлению стратегиями рассуждения в больших языковых моделях, направленный на достижение баланса между вычислительной эффективностью и точностью генерируемых ответов. Разработанная архитектура адаптивного модуля включает классификацию входного запроса по предполагаемой сложности, выбор оптимальной стратегии (</w:t>
      </w:r>
      <w:proofErr w:type="spellStart"/>
      <w:r w:rsidRPr="0067295D">
        <w:rPr>
          <w:shd w:val="clear" w:color="auto" w:fill="FFFFFF"/>
        </w:rPr>
        <w:t>CoT</w:t>
      </w:r>
      <w:proofErr w:type="spellEnd"/>
      <w:r w:rsidRPr="0067295D">
        <w:rPr>
          <w:shd w:val="clear" w:color="auto" w:fill="FFFFFF"/>
        </w:rPr>
        <w:t xml:space="preserve">, </w:t>
      </w:r>
      <w:proofErr w:type="spellStart"/>
      <w:r w:rsidRPr="0067295D">
        <w:rPr>
          <w:shd w:val="clear" w:color="auto" w:fill="FFFFFF"/>
        </w:rPr>
        <w:t>ToT</w:t>
      </w:r>
      <w:proofErr w:type="spellEnd"/>
      <w:r w:rsidRPr="0067295D">
        <w:rPr>
          <w:shd w:val="clear" w:color="auto" w:fill="FFFFFF"/>
        </w:rPr>
        <w:t xml:space="preserve">, </w:t>
      </w:r>
      <w:proofErr w:type="spellStart"/>
      <w:r w:rsidRPr="0067295D">
        <w:rPr>
          <w:shd w:val="clear" w:color="auto" w:fill="FFFFFF"/>
        </w:rPr>
        <w:t>LtM</w:t>
      </w:r>
      <w:proofErr w:type="spellEnd"/>
      <w:r w:rsidRPr="0067295D">
        <w:rPr>
          <w:shd w:val="clear" w:color="auto" w:fill="FFFFFF"/>
        </w:rPr>
        <w:t>, SC) и оценку качества промежуточных результатов, что позволяет гибко распределять вычислительные ресурсы в зависимости от типа задачи.</w:t>
      </w:r>
    </w:p>
    <w:p w14:paraId="5B99605F" w14:textId="212D3E1C" w:rsidR="008B5461" w:rsidRPr="0067295D" w:rsidRDefault="005C28A4" w:rsidP="0067295D">
      <w:pPr>
        <w:pStyle w:val="ab"/>
        <w:rPr>
          <w:shd w:val="clear" w:color="auto" w:fill="FFFFFF"/>
        </w:rPr>
      </w:pPr>
      <w:r w:rsidRPr="0067295D">
        <w:rPr>
          <w:shd w:val="clear" w:color="auto" w:fill="FFFFFF"/>
        </w:rPr>
        <w:t xml:space="preserve">На основе предложенной математической формализации выполнено сравнение вычислительной сложности основных методов рассуждения: линейной для </w:t>
      </w:r>
      <w:proofErr w:type="spellStart"/>
      <w:r w:rsidRPr="0067295D">
        <w:rPr>
          <w:shd w:val="clear" w:color="auto" w:fill="FFFFFF"/>
        </w:rPr>
        <w:t>CoT</w:t>
      </w:r>
      <w:proofErr w:type="spellEnd"/>
      <w:r w:rsidRPr="0067295D">
        <w:rPr>
          <w:shd w:val="clear" w:color="auto" w:fill="FFFFFF"/>
        </w:rPr>
        <w:t xml:space="preserve"> и SC, экспоненциальной для </w:t>
      </w:r>
      <w:proofErr w:type="spellStart"/>
      <w:r w:rsidRPr="0067295D">
        <w:rPr>
          <w:shd w:val="clear" w:color="auto" w:fill="FFFFFF"/>
        </w:rPr>
        <w:t>ToT</w:t>
      </w:r>
      <w:proofErr w:type="spellEnd"/>
      <w:r w:rsidRPr="0067295D">
        <w:rPr>
          <w:shd w:val="clear" w:color="auto" w:fill="FFFFFF"/>
        </w:rPr>
        <w:t xml:space="preserve">, и линейно зависящей от числа подзадач для </w:t>
      </w:r>
      <w:proofErr w:type="spellStart"/>
      <w:r w:rsidRPr="0067295D">
        <w:rPr>
          <w:shd w:val="clear" w:color="auto" w:fill="FFFFFF"/>
        </w:rPr>
        <w:t>LtM</w:t>
      </w:r>
      <w:proofErr w:type="spellEnd"/>
      <w:r w:rsidRPr="0067295D">
        <w:rPr>
          <w:shd w:val="clear" w:color="auto" w:fill="FFFFFF"/>
        </w:rPr>
        <w:t>. Показано, что использование единой стратегии для всех запросов приводит либо к избыточным затратам (при ориентации на сложные задачи), либо к потере точности (при ориентации на простые). Адаптивный модуль устраняет это противоречие, выбирая стратегию, которая минимизирует затраты при соблюдении порогового значения точности.</w:t>
      </w:r>
    </w:p>
    <w:p w14:paraId="26131320" w14:textId="1B8174D3" w:rsidR="008B5461" w:rsidRPr="0067295D" w:rsidRDefault="005C28A4" w:rsidP="00590C37">
      <w:pPr>
        <w:pStyle w:val="ab"/>
        <w:rPr>
          <w:shd w:val="clear" w:color="auto" w:fill="FFFFFF"/>
        </w:rPr>
      </w:pPr>
      <w:r w:rsidRPr="0067295D">
        <w:rPr>
          <w:shd w:val="clear" w:color="auto" w:fill="FFFFFF"/>
        </w:rPr>
        <w:t>Экспериментальное моделирование на компактной языковой модели (7–8 млрд параметров) подтвердило работоспособность подхода. На рис</w:t>
      </w:r>
      <w:r w:rsidR="00771264" w:rsidRPr="0067295D">
        <w:rPr>
          <w:shd w:val="clear" w:color="auto" w:fill="FFFFFF"/>
        </w:rPr>
        <w:t>.</w:t>
      </w:r>
      <w:r w:rsidRPr="0067295D">
        <w:rPr>
          <w:shd w:val="clear" w:color="auto" w:fill="FFFFFF"/>
        </w:rPr>
        <w:t xml:space="preserve"> 2 </w:t>
      </w:r>
      <w:proofErr w:type="spellStart"/>
      <w:proofErr w:type="gramStart"/>
      <w:r w:rsidRPr="0067295D">
        <w:rPr>
          <w:shd w:val="clear" w:color="auto" w:fill="FFFFFF"/>
        </w:rPr>
        <w:t>продемонстри</w:t>
      </w:r>
      <w:r w:rsidR="00C675F2">
        <w:rPr>
          <w:shd w:val="clear" w:color="auto" w:fill="FFFFFF"/>
        </w:rPr>
        <w:t>-</w:t>
      </w:r>
      <w:r w:rsidRPr="0067295D">
        <w:rPr>
          <w:shd w:val="clear" w:color="auto" w:fill="FFFFFF"/>
        </w:rPr>
        <w:t>ровано</w:t>
      </w:r>
      <w:proofErr w:type="spellEnd"/>
      <w:proofErr w:type="gramEnd"/>
      <w:r w:rsidRPr="0067295D">
        <w:rPr>
          <w:shd w:val="clear" w:color="auto" w:fill="FFFFFF"/>
        </w:rPr>
        <w:t xml:space="preserve">, что адаптивная стратегия объединяет преимущества </w:t>
      </w:r>
      <w:proofErr w:type="spellStart"/>
      <w:r w:rsidRPr="0067295D">
        <w:rPr>
          <w:shd w:val="clear" w:color="auto" w:fill="FFFFFF"/>
        </w:rPr>
        <w:t>CoT</w:t>
      </w:r>
      <w:proofErr w:type="spellEnd"/>
      <w:r w:rsidRPr="0067295D">
        <w:rPr>
          <w:shd w:val="clear" w:color="auto" w:fill="FFFFFF"/>
        </w:rPr>
        <w:t xml:space="preserve"> (низкое время </w:t>
      </w:r>
      <w:proofErr w:type="spellStart"/>
      <w:r w:rsidRPr="0067295D">
        <w:rPr>
          <w:shd w:val="clear" w:color="auto" w:fill="FFFFFF"/>
        </w:rPr>
        <w:t>инференса</w:t>
      </w:r>
      <w:proofErr w:type="spellEnd"/>
      <w:r w:rsidRPr="0067295D">
        <w:rPr>
          <w:shd w:val="clear" w:color="auto" w:fill="FFFFFF"/>
        </w:rPr>
        <w:t xml:space="preserve"> на простых запросах) и </w:t>
      </w:r>
      <w:proofErr w:type="spellStart"/>
      <w:r w:rsidRPr="0067295D">
        <w:rPr>
          <w:shd w:val="clear" w:color="auto" w:fill="FFFFFF"/>
        </w:rPr>
        <w:t>ToT</w:t>
      </w:r>
      <w:proofErr w:type="spellEnd"/>
      <w:r w:rsidRPr="0067295D">
        <w:rPr>
          <w:shd w:val="clear" w:color="auto" w:fill="FFFFFF"/>
        </w:rPr>
        <w:t xml:space="preserve"> (высокая точность на сложных запросах), полностью избегая областей низкой эффективности. Классификатор модуля направляет около 70% запросов на обработку методом </w:t>
      </w:r>
      <w:proofErr w:type="spellStart"/>
      <w:r w:rsidRPr="0067295D">
        <w:rPr>
          <w:shd w:val="clear" w:color="auto" w:fill="FFFFFF"/>
        </w:rPr>
        <w:t>CoT</w:t>
      </w:r>
      <w:proofErr w:type="spellEnd"/>
      <w:r w:rsidRPr="0067295D">
        <w:rPr>
          <w:shd w:val="clear" w:color="auto" w:fill="FFFFFF"/>
        </w:rPr>
        <w:t xml:space="preserve"> и 30% – на </w:t>
      </w:r>
      <w:proofErr w:type="spellStart"/>
      <w:r w:rsidRPr="0067295D">
        <w:rPr>
          <w:shd w:val="clear" w:color="auto" w:fill="FFFFFF"/>
        </w:rPr>
        <w:t>ToT</w:t>
      </w:r>
      <w:proofErr w:type="spellEnd"/>
      <w:r w:rsidRPr="0067295D">
        <w:rPr>
          <w:shd w:val="clear" w:color="auto" w:fill="FFFFFF"/>
        </w:rPr>
        <w:t xml:space="preserve"> (рис.</w:t>
      </w:r>
      <w:r w:rsidR="00C675F2">
        <w:rPr>
          <w:shd w:val="clear" w:color="auto" w:fill="FFFFFF"/>
        </w:rPr>
        <w:t> </w:t>
      </w:r>
      <w:r w:rsidRPr="0067295D">
        <w:rPr>
          <w:shd w:val="clear" w:color="auto" w:fill="FFFFFF"/>
        </w:rPr>
        <w:t xml:space="preserve">3), что обеспечивает снижение средних вычислительных затрат на 62% по сравнению с базовой системой, всегда использующей </w:t>
      </w:r>
      <w:proofErr w:type="spellStart"/>
      <w:r w:rsidRPr="0067295D">
        <w:rPr>
          <w:shd w:val="clear" w:color="auto" w:fill="FFFFFF"/>
        </w:rPr>
        <w:t>ToT</w:t>
      </w:r>
      <w:proofErr w:type="spellEnd"/>
      <w:r w:rsidRPr="0067295D">
        <w:rPr>
          <w:shd w:val="clear" w:color="auto" w:fill="FFFFFF"/>
        </w:rPr>
        <w:t xml:space="preserve">, при сохранении точности не ниже 0,9 </w:t>
      </w:r>
      <w:proofErr w:type="gramStart"/>
      <w:r w:rsidRPr="0067295D">
        <w:rPr>
          <w:shd w:val="clear" w:color="auto" w:fill="FFFFFF"/>
        </w:rPr>
        <w:t>от</w:t>
      </w:r>
      <w:proofErr w:type="gramEnd"/>
      <w:r w:rsidRPr="0067295D">
        <w:rPr>
          <w:shd w:val="clear" w:color="auto" w:fill="FFFFFF"/>
        </w:rPr>
        <w:t xml:space="preserve"> максимальной.</w:t>
      </w:r>
    </w:p>
    <w:p w14:paraId="44D17AB5" w14:textId="77777777" w:rsidR="008B5461" w:rsidRDefault="005C28A4" w:rsidP="00590C37">
      <w:pPr>
        <w:pStyle w:val="ab"/>
      </w:pPr>
      <w:r w:rsidRPr="0067295D">
        <w:rPr>
          <w:shd w:val="clear" w:color="auto" w:fill="FFFFFF"/>
        </w:rPr>
        <w:t xml:space="preserve">Дополнительно обоснована целесообразность применения компактных языковых моделей (до 8 млрд </w:t>
      </w:r>
      <w:r w:rsidRPr="0067295D">
        <w:rPr>
          <w:shd w:val="clear" w:color="auto" w:fill="FFFFFF"/>
        </w:rPr>
        <w:lastRenderedPageBreak/>
        <w:t xml:space="preserve">параметров) в сочетании с методами параметрически эффективной настройки, такими как </w:t>
      </w:r>
      <w:proofErr w:type="spellStart"/>
      <w:r w:rsidRPr="0067295D">
        <w:rPr>
          <w:shd w:val="clear" w:color="auto" w:fill="FFFFFF"/>
        </w:rPr>
        <w:t>LoRA</w:t>
      </w:r>
      <w:proofErr w:type="spellEnd"/>
      <w:r w:rsidRPr="0067295D">
        <w:rPr>
          <w:shd w:val="clear" w:color="auto" w:fill="FFFFFF"/>
        </w:rPr>
        <w:t xml:space="preserve"> и </w:t>
      </w:r>
      <w:proofErr w:type="spellStart"/>
      <w:r w:rsidRPr="0067295D">
        <w:rPr>
          <w:shd w:val="clear" w:color="auto" w:fill="FFFFFF"/>
        </w:rPr>
        <w:t>LoRA-MoE</w:t>
      </w:r>
      <w:proofErr w:type="spellEnd"/>
      <w:r w:rsidRPr="0067295D">
        <w:rPr>
          <w:shd w:val="clear" w:color="auto" w:fill="FFFFFF"/>
        </w:rPr>
        <w:t>. Это позволяет специализировать модель под конкретные типы задач без существенного роста потребления памяти и времени обучения, что особенно важно для практического внедрения в условиях ограниченных вычислительных ресурсов</w:t>
      </w:r>
      <w:r>
        <w:t>.</w:t>
      </w:r>
    </w:p>
    <w:p w14:paraId="335D418E" w14:textId="77777777" w:rsidR="008B5461" w:rsidRDefault="005C28A4" w:rsidP="00590C37">
      <w:pPr>
        <w:pStyle w:val="ab"/>
      </w:pPr>
      <w:r w:rsidRPr="0067295D">
        <w:rPr>
          <w:shd w:val="clear" w:color="auto" w:fill="FFFFFF"/>
        </w:rPr>
        <w:t xml:space="preserve">Полученные результаты имеют практическую ценность для разработки </w:t>
      </w:r>
      <w:proofErr w:type="spellStart"/>
      <w:r w:rsidRPr="0067295D">
        <w:rPr>
          <w:shd w:val="clear" w:color="auto" w:fill="FFFFFF"/>
        </w:rPr>
        <w:t>ресурсоэффективных</w:t>
      </w:r>
      <w:proofErr w:type="spellEnd"/>
      <w:r w:rsidRPr="0067295D">
        <w:rPr>
          <w:shd w:val="clear" w:color="auto" w:fill="FFFFFF"/>
        </w:rPr>
        <w:t xml:space="preserve"> интеллектуальных систем в областях, где критически важны как точность ответов, так и скорость их получения (финансовая аналитика, экспертные системы, интерактивные помощники). Дальнейшие исследования могут быть направлены на совершенствование классификатора запросов, расширение набора стратегий (например, включение </w:t>
      </w:r>
      <w:proofErr w:type="spellStart"/>
      <w:r w:rsidRPr="0067295D">
        <w:rPr>
          <w:shd w:val="clear" w:color="auto" w:fill="FFFFFF"/>
        </w:rPr>
        <w:t>Graph-of-Thoughts</w:t>
      </w:r>
      <w:proofErr w:type="spellEnd"/>
      <w:r w:rsidRPr="0067295D">
        <w:rPr>
          <w:shd w:val="clear" w:color="auto" w:fill="FFFFFF"/>
        </w:rPr>
        <w:t>), а также на проведение масштабных экспериментов на реальных данных для количественной оценки выигрыша в различных предметных областях</w:t>
      </w:r>
      <w:r>
        <w:t>.</w:t>
      </w:r>
    </w:p>
    <w:p w14:paraId="3070B1DF" w14:textId="0D999C90" w:rsidR="008B5461" w:rsidRDefault="005C28A4">
      <w:pPr>
        <w:pStyle w:val="5"/>
      </w:pPr>
      <w:r>
        <w:t>Список литературы</w:t>
      </w:r>
    </w:p>
    <w:p w14:paraId="6E647A65" w14:textId="3A91131A" w:rsidR="008B5461" w:rsidRPr="00F2435C" w:rsidRDefault="00C675F2" w:rsidP="00F2435C">
      <w:pPr>
        <w:pStyle w:val="-"/>
      </w:pPr>
      <w:r>
        <w:t>Рабчевский А.</w:t>
      </w:r>
      <w:r w:rsidR="005C28A4" w:rsidRPr="00F2435C">
        <w:t>Н. Синтетические данные и развитие нейросетевых технологий : учебное пособие для вузов. Москва : Издательство Юрайт, 2024. 187 с.</w:t>
      </w:r>
    </w:p>
    <w:p w14:paraId="4B343A1E" w14:textId="2E092C21" w:rsidR="004405BA" w:rsidRPr="00F2435C" w:rsidRDefault="004405BA" w:rsidP="00F2435C">
      <w:pPr>
        <w:pStyle w:val="-"/>
      </w:pPr>
      <w:r w:rsidRPr="00F2435C">
        <w:t>Литвинов</w:t>
      </w:r>
      <w:r w:rsidR="00C675F2">
        <w:t xml:space="preserve"> В.Л., Злобин О.Н., Филиппов Ф.</w:t>
      </w:r>
      <w:r w:rsidRPr="00F2435C">
        <w:t>В. Предметно-ориентированные языковые модели непрерывного обучения // В сборнике: VI Международная конференция по нейронным сетям и нейротехнологиям (NeuroNT'2025). Материалы конференции. Санкт-Петербург, 2025. С. 16-18.</w:t>
      </w:r>
    </w:p>
    <w:p w14:paraId="1FB87259" w14:textId="2B160C01" w:rsidR="008B5461" w:rsidRPr="00F2435C" w:rsidRDefault="00C675F2" w:rsidP="00F2435C">
      <w:pPr>
        <w:pStyle w:val="-"/>
      </w:pPr>
      <w:r>
        <w:t>Васеев И.Е., Годунова Е.А., Санатов Д.</w:t>
      </w:r>
      <w:r w:rsidR="005C28A4" w:rsidRPr="00F2435C">
        <w:t>В. и др. Источники новых индустрий. Выпуск 3. Искусственный интеллект в промышленности : экспертно-аналитический доклад. 2023.</w:t>
      </w:r>
    </w:p>
    <w:p w14:paraId="02078B57" w14:textId="05031A60" w:rsidR="008B5461" w:rsidRPr="00F2435C" w:rsidRDefault="005C28A4" w:rsidP="00F2435C">
      <w:pPr>
        <w:pStyle w:val="-"/>
      </w:pPr>
      <w:r w:rsidRPr="00F2435C">
        <w:t>Wei J., Wang X., Schuurmans D. et al. Chain-of-Thought Prompting Elicits Reasoning in Large Language Models // arXiv:2201.11903. 2023. – URL: https://arxiv.org/abs/2201.11903 (дата обращения: 15.03.2026).</w:t>
      </w:r>
    </w:p>
    <w:p w14:paraId="76793542" w14:textId="6B49B073" w:rsidR="008B5461" w:rsidRPr="00F2435C" w:rsidRDefault="005C28A4" w:rsidP="00F2435C">
      <w:pPr>
        <w:pStyle w:val="-"/>
        <w:rPr>
          <w:shd w:val="clear" w:color="auto" w:fill="FFFFFF"/>
        </w:rPr>
      </w:pPr>
      <w:r w:rsidRPr="00F2435C">
        <w:rPr>
          <w:shd w:val="clear" w:color="auto" w:fill="FFFFFF"/>
        </w:rPr>
        <w:t>Yao S., Yu D., Zhao J. et al. Tree of Thoughts: Deliberate Problem Solving with Large Language Models // arXiv:2305.10601. 2023. URL: https://arxiv.org/abs/2305.10601 (дата обращения: 15.03.2026).</w:t>
      </w:r>
    </w:p>
    <w:p w14:paraId="22FD2F13" w14:textId="3BACBCC6" w:rsidR="008B5461" w:rsidRPr="00F2435C" w:rsidRDefault="005C28A4" w:rsidP="00F2435C">
      <w:pPr>
        <w:pStyle w:val="-"/>
        <w:rPr>
          <w:shd w:val="clear" w:color="auto" w:fill="FFFFFF"/>
        </w:rPr>
      </w:pPr>
      <w:r w:rsidRPr="00F2435C">
        <w:rPr>
          <w:shd w:val="clear" w:color="auto" w:fill="FFFFFF"/>
        </w:rPr>
        <w:t>Zhou D., Schärli N., Hou L. et al. Least-to-most prompting enables complex reasoning in large language models // arXiv:2205.10625. – 2023. – URL: https://arxiv.org/abs/2205.10625 (дата обращения: 15.03.2026).</w:t>
      </w:r>
    </w:p>
    <w:p w14:paraId="6603AD50" w14:textId="64AE4E54" w:rsidR="008B5461" w:rsidRPr="00F2435C" w:rsidRDefault="005C28A4" w:rsidP="00F2435C">
      <w:pPr>
        <w:pStyle w:val="-"/>
        <w:rPr>
          <w:shd w:val="clear" w:color="auto" w:fill="FFFFFF"/>
        </w:rPr>
      </w:pPr>
      <w:r w:rsidRPr="00F2435C">
        <w:rPr>
          <w:shd w:val="clear" w:color="auto" w:fill="FFFFFF"/>
        </w:rPr>
        <w:t>Wang X., Wei J., Schuurmans D. et al. Self-consistency improves chain of thought reasoning in language models // arXiv:2203.11171. – 2023. – URL: https://arxiv.org/abs/2203.11171 (дата обращения: 15.03.2026).</w:t>
      </w:r>
    </w:p>
    <w:p w14:paraId="00C1F879" w14:textId="666C8FDA" w:rsidR="00BD629E" w:rsidRPr="00F2435C" w:rsidRDefault="00C675F2" w:rsidP="00F2435C">
      <w:pPr>
        <w:pStyle w:val="-"/>
        <w:rPr>
          <w:shd w:val="clear" w:color="auto" w:fill="FFFFFF"/>
        </w:rPr>
      </w:pPr>
      <w:r>
        <w:rPr>
          <w:shd w:val="clear" w:color="auto" w:fill="FFFFFF"/>
        </w:rPr>
        <w:t>Hu E.</w:t>
      </w:r>
      <w:r w:rsidR="00BD629E" w:rsidRPr="00F2435C">
        <w:rPr>
          <w:shd w:val="clear" w:color="auto" w:fill="FFFFFF"/>
        </w:rPr>
        <w:t>J., Shen Y., Wallis P. et al. LoRA: Low-Rank Adaptation of Large Language Models // arXiv:2106.09685. 2021. – URL: https://arxiv.org/abs/2106.09685 (дата обращения: 15.03.2026).</w:t>
      </w:r>
    </w:p>
    <w:p w14:paraId="660EF0CE" w14:textId="6DD77FE6" w:rsidR="00BD629E" w:rsidRPr="00F2435C" w:rsidRDefault="00BD629E" w:rsidP="00F2435C">
      <w:pPr>
        <w:pStyle w:val="-"/>
        <w:rPr>
          <w:shd w:val="clear" w:color="auto" w:fill="FFFFFF"/>
        </w:rPr>
      </w:pPr>
      <w:r w:rsidRPr="00F2435C">
        <w:rPr>
          <w:shd w:val="clear" w:color="auto" w:fill="FFFFFF"/>
        </w:rPr>
        <w:t>Liu Z., Xu J., Wu Y. et al. LoRAMoE: Alleviate World Knowledge Forgetting in Large Language Models via MoE-Style Plugin // arXiv:2312.09979. 2024. – URL: https://arxiv.org/abs/2312.09979 (дата обращения: 15.03.2026)</w:t>
      </w:r>
    </w:p>
    <w:p w14:paraId="08DF3CB3" w14:textId="7F52955C" w:rsidR="008B5461" w:rsidRPr="00F2435C" w:rsidRDefault="005C28A4" w:rsidP="00F2435C">
      <w:pPr>
        <w:pStyle w:val="-"/>
        <w:rPr>
          <w:shd w:val="clear" w:color="auto" w:fill="FFFFFF"/>
        </w:rPr>
      </w:pPr>
      <w:r w:rsidRPr="00F2435C">
        <w:rPr>
          <w:shd w:val="clear" w:color="auto" w:fill="FFFFFF"/>
        </w:rPr>
        <w:t xml:space="preserve">Yao S., Yu D., Zhao J. et al. Graph of Thoughts: Solving Elaborate Problems with Large Language Models // arXiv:2308.09687. </w:t>
      </w:r>
      <w:bookmarkStart w:id="0" w:name="_GoBack"/>
      <w:bookmarkEnd w:id="0"/>
      <w:r w:rsidRPr="00F2435C">
        <w:rPr>
          <w:shd w:val="clear" w:color="auto" w:fill="FFFFFF"/>
        </w:rPr>
        <w:t>2023. – URL: https://arxiv.org/abs/2308.09687 (дата обращения: 15.03.2026).</w:t>
      </w:r>
    </w:p>
    <w:p w14:paraId="63E5EE85" w14:textId="755419D1" w:rsidR="008B5461" w:rsidRPr="00BD629E" w:rsidRDefault="008B5461" w:rsidP="00F2435C">
      <w:pPr>
        <w:pStyle w:val="-"/>
        <w:sectPr w:rsidR="008B5461" w:rsidRPr="00BD629E">
          <w:type w:val="continuous"/>
          <w:pgSz w:w="11906" w:h="16838"/>
          <w:pgMar w:top="907" w:right="907" w:bottom="1440" w:left="907" w:header="709" w:footer="709" w:gutter="0"/>
          <w:cols w:num="2" w:space="720" w:equalWidth="0">
            <w:col w:w="4875" w:space="340"/>
            <w:col w:w="4875" w:space="0"/>
          </w:cols>
        </w:sectPr>
      </w:pPr>
    </w:p>
    <w:p w14:paraId="06FC5A7B" w14:textId="77777777" w:rsidR="008B5461" w:rsidRPr="00771264" w:rsidRDefault="008B5461">
      <w:pPr>
        <w:rPr>
          <w:sz w:val="16"/>
          <w:szCs w:val="16"/>
          <w:lang w:val="en-US"/>
        </w:rPr>
      </w:pPr>
    </w:p>
    <w:sectPr w:rsidR="008B5461" w:rsidRPr="00771264">
      <w:type w:val="continuous"/>
      <w:pgSz w:w="11906" w:h="16838"/>
      <w:pgMar w:top="907" w:right="907" w:bottom="1440" w:left="90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4918EBC-CAE7-4F3A-98C5-A76285590A9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58E03764-E8D9-42DF-9EA5-F0A2F3AC74EA}"/>
    <w:embedItalic r:id="rId3" w:fontKey="{71A928C6-0549-450F-A36B-E900D5D1C96D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4" w:fontKey="{61C110B6-1A5D-4871-A16B-CC1EBC18D350}"/>
    <w:embedItalic r:id="rId5" w:fontKey="{4C7395C3-0D48-4590-9F6E-9AFF9BECC87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493D39F8-E252-4309-A089-49FABF006E3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2BB6"/>
    <w:multiLevelType w:val="multilevel"/>
    <w:tmpl w:val="5EAA109A"/>
    <w:lvl w:ilvl="0">
      <w:start w:val="1"/>
      <w:numFmt w:val="upperRoman"/>
      <w:lvlText w:val="%1."/>
      <w:lvlJc w:val="center"/>
      <w:pPr>
        <w:ind w:left="0" w:firstLine="216"/>
      </w:pPr>
      <w:rPr>
        <w:rFonts w:ascii="Times New Roman" w:eastAsia="Times New Roman" w:hAnsi="Times New Roman" w:cs="Times New Roman"/>
        <w:smallCaps w:val="0"/>
        <w:strike w:val="0"/>
        <w:color w:val="000000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ind w:left="0" w:firstLine="18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decimal"/>
      <w:lvlText w:val=""/>
      <w:lvlJc w:val="left"/>
      <w:pPr>
        <w:ind w:left="2880" w:hanging="2880"/>
      </w:pPr>
    </w:lvl>
    <w:lvl w:ilvl="5">
      <w:start w:val="1"/>
      <w:numFmt w:val="lowerLetter"/>
      <w:lvlText w:val="(%6)"/>
      <w:lvlJc w:val="left"/>
      <w:pPr>
        <w:ind w:left="3600" w:hanging="3600"/>
      </w:pPr>
    </w:lvl>
    <w:lvl w:ilvl="6">
      <w:start w:val="1"/>
      <w:numFmt w:val="lowerRoman"/>
      <w:lvlText w:val="(%7)"/>
      <w:lvlJc w:val="left"/>
      <w:pPr>
        <w:ind w:left="4320" w:hanging="4320"/>
      </w:pPr>
    </w:lvl>
    <w:lvl w:ilvl="7">
      <w:start w:val="1"/>
      <w:numFmt w:val="lowerLetter"/>
      <w:lvlText w:val="(%8)"/>
      <w:lvlJc w:val="left"/>
      <w:pPr>
        <w:ind w:left="5040" w:hanging="5040"/>
      </w:pPr>
    </w:lvl>
    <w:lvl w:ilvl="8">
      <w:start w:val="1"/>
      <w:numFmt w:val="lowerRoman"/>
      <w:lvlText w:val="(%9)"/>
      <w:lvlJc w:val="left"/>
      <w:pPr>
        <w:ind w:left="5760" w:hanging="5760"/>
      </w:pPr>
    </w:lvl>
  </w:abstractNum>
  <w:abstractNum w:abstractNumId="1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2769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A5FBC"/>
    <w:multiLevelType w:val="multilevel"/>
    <w:tmpl w:val="4B72B97C"/>
    <w:lvl w:ilvl="0">
      <w:start w:val="1"/>
      <w:numFmt w:val="decimal"/>
      <w:pStyle w:val="-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61"/>
    <w:rsid w:val="00112159"/>
    <w:rsid w:val="001425AB"/>
    <w:rsid w:val="001A7BED"/>
    <w:rsid w:val="002304D1"/>
    <w:rsid w:val="0029373D"/>
    <w:rsid w:val="004405BA"/>
    <w:rsid w:val="00474E3D"/>
    <w:rsid w:val="004F64A9"/>
    <w:rsid w:val="00525F12"/>
    <w:rsid w:val="00590C37"/>
    <w:rsid w:val="005C28A4"/>
    <w:rsid w:val="0067295D"/>
    <w:rsid w:val="00673475"/>
    <w:rsid w:val="00771264"/>
    <w:rsid w:val="007C2034"/>
    <w:rsid w:val="008B5461"/>
    <w:rsid w:val="0090365F"/>
    <w:rsid w:val="00A2326C"/>
    <w:rsid w:val="00B42263"/>
    <w:rsid w:val="00B91C60"/>
    <w:rsid w:val="00BD629E"/>
    <w:rsid w:val="00C579A4"/>
    <w:rsid w:val="00C675F2"/>
    <w:rsid w:val="00C6780E"/>
    <w:rsid w:val="00C81103"/>
    <w:rsid w:val="00D30F01"/>
    <w:rsid w:val="00D5018F"/>
    <w:rsid w:val="00D561D1"/>
    <w:rsid w:val="00EA4858"/>
    <w:rsid w:val="00F2435C"/>
    <w:rsid w:val="00F73B5B"/>
    <w:rsid w:val="00F7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E7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tabs>
        <w:tab w:val="left" w:pos="425"/>
      </w:tabs>
      <w:spacing w:before="160" w:after="80"/>
      <w:ind w:firstLine="215"/>
      <w:jc w:val="center"/>
      <w:outlineLvl w:val="0"/>
    </w:pPr>
    <w:rPr>
      <w:smallCaps/>
      <w:sz w:val="20"/>
      <w:szCs w:val="20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120" w:after="60"/>
      <w:ind w:left="289" w:hanging="289"/>
      <w:outlineLvl w:val="1"/>
    </w:pPr>
    <w:rPr>
      <w:i/>
      <w:iCs/>
      <w:sz w:val="20"/>
      <w:szCs w:val="20"/>
    </w:rPr>
  </w:style>
  <w:style w:type="paragraph" w:styleId="3">
    <w:name w:val="heading 3"/>
    <w:basedOn w:val="a0"/>
    <w:next w:val="a0"/>
    <w:uiPriority w:val="9"/>
    <w:unhideWhenUsed/>
    <w:qFormat/>
    <w:pPr>
      <w:tabs>
        <w:tab w:val="left" w:pos="720"/>
      </w:tabs>
      <w:spacing w:after="60"/>
      <w:ind w:firstLine="289"/>
      <w:jc w:val="both"/>
      <w:outlineLvl w:val="2"/>
    </w:pPr>
    <w:rPr>
      <w:i/>
      <w:iCs/>
      <w:sz w:val="20"/>
      <w:szCs w:val="20"/>
    </w:rPr>
  </w:style>
  <w:style w:type="paragraph" w:styleId="4">
    <w:name w:val="heading 4"/>
    <w:basedOn w:val="a0"/>
    <w:next w:val="a0"/>
    <w:uiPriority w:val="9"/>
    <w:unhideWhenUsed/>
    <w:qFormat/>
    <w:pPr>
      <w:tabs>
        <w:tab w:val="left" w:pos="720"/>
      </w:tabs>
      <w:spacing w:before="40" w:after="40"/>
      <w:ind w:firstLine="360"/>
      <w:jc w:val="both"/>
      <w:outlineLvl w:val="3"/>
    </w:pPr>
    <w:rPr>
      <w:i/>
      <w:iCs/>
      <w:sz w:val="20"/>
      <w:szCs w:val="20"/>
    </w:rPr>
  </w:style>
  <w:style w:type="paragraph" w:styleId="5">
    <w:name w:val="heading 5"/>
    <w:basedOn w:val="a0"/>
    <w:next w:val="a0"/>
    <w:uiPriority w:val="9"/>
    <w:unhideWhenUsed/>
    <w:qFormat/>
    <w:pPr>
      <w:tabs>
        <w:tab w:val="left" w:pos="360"/>
      </w:tabs>
      <w:spacing w:before="160" w:after="80"/>
      <w:jc w:val="center"/>
      <w:outlineLvl w:val="4"/>
    </w:pPr>
    <w:rPr>
      <w:smallCaps/>
      <w:sz w:val="20"/>
      <w:szCs w:val="20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/>
      <w:outlineLvl w:val="5"/>
    </w:pPr>
    <w:rPr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spacing w:before="120" w:after="120"/>
      <w:jc w:val="center"/>
    </w:pPr>
    <w:rPr>
      <w:color w:val="000000"/>
      <w:sz w:val="48"/>
      <w:szCs w:val="48"/>
    </w:rPr>
  </w:style>
  <w:style w:type="paragraph" w:styleId="a5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6">
    <w:name w:val="Авторы"/>
    <w:basedOn w:val="a0"/>
    <w:next w:val="a0"/>
    <w:qFormat/>
    <w:rsid w:val="00A2326C"/>
    <w:pPr>
      <w:suppressAutoHyphens/>
      <w:spacing w:before="240" w:after="120"/>
      <w:jc w:val="center"/>
    </w:pPr>
    <w:rPr>
      <w:szCs w:val="20"/>
      <w:lang w:val="ru-RU" w:eastAsia="en-US"/>
    </w:rPr>
  </w:style>
  <w:style w:type="paragraph" w:customStyle="1" w:styleId="a7">
    <w:name w:val="Организация"/>
    <w:basedOn w:val="a0"/>
    <w:qFormat/>
    <w:rsid w:val="00B91C60"/>
    <w:pPr>
      <w:suppressAutoHyphens/>
      <w:spacing w:after="120"/>
      <w:jc w:val="center"/>
    </w:pPr>
    <w:rPr>
      <w:i/>
      <w:sz w:val="20"/>
      <w:szCs w:val="20"/>
      <w:lang w:val="ru-RU" w:eastAsia="en-US"/>
    </w:rPr>
  </w:style>
  <w:style w:type="paragraph" w:customStyle="1" w:styleId="a8">
    <w:name w:val="Мэйл"/>
    <w:basedOn w:val="a0"/>
    <w:qFormat/>
    <w:rsid w:val="00C675F2"/>
    <w:pPr>
      <w:suppressAutoHyphens/>
      <w:jc w:val="center"/>
    </w:pPr>
    <w:rPr>
      <w:sz w:val="20"/>
      <w:szCs w:val="20"/>
      <w:lang w:val="en-US" w:eastAsia="en-US"/>
    </w:rPr>
  </w:style>
  <w:style w:type="paragraph" w:customStyle="1" w:styleId="a9">
    <w:name w:val="Аннотация"/>
    <w:basedOn w:val="a7"/>
    <w:qFormat/>
    <w:rsid w:val="00B91C60"/>
    <w:pPr>
      <w:ind w:firstLine="289"/>
      <w:jc w:val="both"/>
    </w:pPr>
    <w:rPr>
      <w:b/>
      <w:i w:val="0"/>
      <w:sz w:val="18"/>
    </w:rPr>
  </w:style>
  <w:style w:type="paragraph" w:customStyle="1" w:styleId="aa">
    <w:name w:val="Ключевые слова"/>
    <w:basedOn w:val="a0"/>
    <w:next w:val="1"/>
    <w:qFormat/>
    <w:rsid w:val="00B91C60"/>
    <w:pPr>
      <w:suppressAutoHyphens/>
      <w:spacing w:after="200"/>
      <w:ind w:firstLine="289"/>
      <w:jc w:val="both"/>
    </w:pPr>
    <w:rPr>
      <w:b/>
      <w:i/>
      <w:sz w:val="18"/>
      <w:szCs w:val="20"/>
      <w:lang w:val="ru-RU" w:eastAsia="en-US"/>
    </w:rPr>
  </w:style>
  <w:style w:type="paragraph" w:styleId="ab">
    <w:name w:val="Body Text"/>
    <w:basedOn w:val="a0"/>
    <w:link w:val="ac"/>
    <w:rsid w:val="0067295D"/>
    <w:pPr>
      <w:tabs>
        <w:tab w:val="left" w:pos="288"/>
      </w:tabs>
      <w:suppressAutoHyphens/>
      <w:spacing w:after="120" w:line="228" w:lineRule="auto"/>
      <w:ind w:firstLine="289"/>
      <w:jc w:val="both"/>
    </w:pPr>
    <w:rPr>
      <w:rFonts w:eastAsia="MS Mincho"/>
      <w:spacing w:val="-1"/>
      <w:sz w:val="20"/>
      <w:szCs w:val="20"/>
      <w:lang w:val="ru-RU" w:eastAsia="en-US"/>
    </w:rPr>
  </w:style>
  <w:style w:type="character" w:customStyle="1" w:styleId="ac">
    <w:name w:val="Основной текст Знак"/>
    <w:basedOn w:val="a1"/>
    <w:link w:val="ab"/>
    <w:rsid w:val="0067295D"/>
    <w:rPr>
      <w:rFonts w:eastAsia="MS Mincho"/>
      <w:spacing w:val="-1"/>
      <w:sz w:val="20"/>
      <w:szCs w:val="20"/>
      <w:lang w:val="ru-RU" w:eastAsia="en-US"/>
    </w:rPr>
  </w:style>
  <w:style w:type="paragraph" w:customStyle="1" w:styleId="a">
    <w:name w:val="Название рисунка"/>
    <w:basedOn w:val="a0"/>
    <w:qFormat/>
    <w:rsid w:val="00C675F2"/>
    <w:pPr>
      <w:numPr>
        <w:numId w:val="3"/>
      </w:numPr>
      <w:tabs>
        <w:tab w:val="left" w:pos="289"/>
      </w:tabs>
      <w:suppressAutoHyphens/>
      <w:spacing w:before="120" w:after="200"/>
      <w:ind w:left="357" w:hanging="357"/>
    </w:pPr>
    <w:rPr>
      <w:sz w:val="16"/>
      <w:szCs w:val="20"/>
      <w:lang w:val="ru-RU" w:eastAsia="en-US"/>
    </w:rPr>
  </w:style>
  <w:style w:type="paragraph" w:styleId="ad">
    <w:name w:val="Bibliography"/>
    <w:basedOn w:val="ab"/>
    <w:next w:val="a0"/>
    <w:qFormat/>
    <w:rsid w:val="00F2435C"/>
    <w:pPr>
      <w:spacing w:after="50" w:line="180" w:lineRule="exact"/>
      <w:ind w:firstLine="0"/>
    </w:pPr>
    <w:rPr>
      <w:spacing w:val="0"/>
      <w:sz w:val="16"/>
    </w:rPr>
  </w:style>
  <w:style w:type="paragraph" w:customStyle="1" w:styleId="-">
    <w:name w:val="список лит-ры"/>
    <w:rsid w:val="00C675F2"/>
    <w:pPr>
      <w:numPr>
        <w:numId w:val="1"/>
      </w:numPr>
      <w:tabs>
        <w:tab w:val="left" w:pos="357"/>
        <w:tab w:val="num" w:pos="2487"/>
      </w:tabs>
      <w:spacing w:after="50" w:line="180" w:lineRule="exact"/>
      <w:ind w:left="357" w:hanging="357"/>
      <w:jc w:val="both"/>
    </w:pPr>
    <w:rPr>
      <w:noProof/>
      <w:sz w:val="16"/>
      <w:szCs w:val="16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tabs>
        <w:tab w:val="left" w:pos="425"/>
      </w:tabs>
      <w:spacing w:before="160" w:after="80"/>
      <w:ind w:firstLine="215"/>
      <w:jc w:val="center"/>
      <w:outlineLvl w:val="0"/>
    </w:pPr>
    <w:rPr>
      <w:smallCaps/>
      <w:sz w:val="20"/>
      <w:szCs w:val="20"/>
    </w:rPr>
  </w:style>
  <w:style w:type="paragraph" w:styleId="2">
    <w:name w:val="heading 2"/>
    <w:basedOn w:val="a0"/>
    <w:next w:val="a0"/>
    <w:uiPriority w:val="9"/>
    <w:unhideWhenUsed/>
    <w:qFormat/>
    <w:pPr>
      <w:keepNext/>
      <w:keepLines/>
      <w:spacing w:before="120" w:after="60"/>
      <w:ind w:left="289" w:hanging="289"/>
      <w:outlineLvl w:val="1"/>
    </w:pPr>
    <w:rPr>
      <w:i/>
      <w:iCs/>
      <w:sz w:val="20"/>
      <w:szCs w:val="20"/>
    </w:rPr>
  </w:style>
  <w:style w:type="paragraph" w:styleId="3">
    <w:name w:val="heading 3"/>
    <w:basedOn w:val="a0"/>
    <w:next w:val="a0"/>
    <w:uiPriority w:val="9"/>
    <w:unhideWhenUsed/>
    <w:qFormat/>
    <w:pPr>
      <w:tabs>
        <w:tab w:val="left" w:pos="720"/>
      </w:tabs>
      <w:spacing w:after="60"/>
      <w:ind w:firstLine="289"/>
      <w:jc w:val="both"/>
      <w:outlineLvl w:val="2"/>
    </w:pPr>
    <w:rPr>
      <w:i/>
      <w:iCs/>
      <w:sz w:val="20"/>
      <w:szCs w:val="20"/>
    </w:rPr>
  </w:style>
  <w:style w:type="paragraph" w:styleId="4">
    <w:name w:val="heading 4"/>
    <w:basedOn w:val="a0"/>
    <w:next w:val="a0"/>
    <w:uiPriority w:val="9"/>
    <w:unhideWhenUsed/>
    <w:qFormat/>
    <w:pPr>
      <w:tabs>
        <w:tab w:val="left" w:pos="720"/>
      </w:tabs>
      <w:spacing w:before="40" w:after="40"/>
      <w:ind w:firstLine="360"/>
      <w:jc w:val="both"/>
      <w:outlineLvl w:val="3"/>
    </w:pPr>
    <w:rPr>
      <w:i/>
      <w:iCs/>
      <w:sz w:val="20"/>
      <w:szCs w:val="20"/>
    </w:rPr>
  </w:style>
  <w:style w:type="paragraph" w:styleId="5">
    <w:name w:val="heading 5"/>
    <w:basedOn w:val="a0"/>
    <w:next w:val="a0"/>
    <w:uiPriority w:val="9"/>
    <w:unhideWhenUsed/>
    <w:qFormat/>
    <w:pPr>
      <w:tabs>
        <w:tab w:val="left" w:pos="360"/>
      </w:tabs>
      <w:spacing w:before="160" w:after="80"/>
      <w:jc w:val="center"/>
      <w:outlineLvl w:val="4"/>
    </w:pPr>
    <w:rPr>
      <w:smallCaps/>
      <w:sz w:val="20"/>
      <w:szCs w:val="20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/>
      <w:outlineLvl w:val="5"/>
    </w:pPr>
    <w:rPr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spacing w:before="120" w:after="120"/>
      <w:jc w:val="center"/>
    </w:pPr>
    <w:rPr>
      <w:color w:val="000000"/>
      <w:sz w:val="48"/>
      <w:szCs w:val="48"/>
    </w:rPr>
  </w:style>
  <w:style w:type="paragraph" w:styleId="a5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6">
    <w:name w:val="Авторы"/>
    <w:basedOn w:val="a0"/>
    <w:next w:val="a0"/>
    <w:qFormat/>
    <w:rsid w:val="00A2326C"/>
    <w:pPr>
      <w:suppressAutoHyphens/>
      <w:spacing w:before="240" w:after="120"/>
      <w:jc w:val="center"/>
    </w:pPr>
    <w:rPr>
      <w:szCs w:val="20"/>
      <w:lang w:val="ru-RU" w:eastAsia="en-US"/>
    </w:rPr>
  </w:style>
  <w:style w:type="paragraph" w:customStyle="1" w:styleId="a7">
    <w:name w:val="Организация"/>
    <w:basedOn w:val="a0"/>
    <w:qFormat/>
    <w:rsid w:val="00B91C60"/>
    <w:pPr>
      <w:suppressAutoHyphens/>
      <w:spacing w:after="120"/>
      <w:jc w:val="center"/>
    </w:pPr>
    <w:rPr>
      <w:i/>
      <w:sz w:val="20"/>
      <w:szCs w:val="20"/>
      <w:lang w:val="ru-RU" w:eastAsia="en-US"/>
    </w:rPr>
  </w:style>
  <w:style w:type="paragraph" w:customStyle="1" w:styleId="a8">
    <w:name w:val="Мэйл"/>
    <w:basedOn w:val="a0"/>
    <w:qFormat/>
    <w:rsid w:val="00C675F2"/>
    <w:pPr>
      <w:suppressAutoHyphens/>
      <w:jc w:val="center"/>
    </w:pPr>
    <w:rPr>
      <w:sz w:val="20"/>
      <w:szCs w:val="20"/>
      <w:lang w:val="en-US" w:eastAsia="en-US"/>
    </w:rPr>
  </w:style>
  <w:style w:type="paragraph" w:customStyle="1" w:styleId="a9">
    <w:name w:val="Аннотация"/>
    <w:basedOn w:val="a7"/>
    <w:qFormat/>
    <w:rsid w:val="00B91C60"/>
    <w:pPr>
      <w:ind w:firstLine="289"/>
      <w:jc w:val="both"/>
    </w:pPr>
    <w:rPr>
      <w:b/>
      <w:i w:val="0"/>
      <w:sz w:val="18"/>
    </w:rPr>
  </w:style>
  <w:style w:type="paragraph" w:customStyle="1" w:styleId="aa">
    <w:name w:val="Ключевые слова"/>
    <w:basedOn w:val="a0"/>
    <w:next w:val="1"/>
    <w:qFormat/>
    <w:rsid w:val="00B91C60"/>
    <w:pPr>
      <w:suppressAutoHyphens/>
      <w:spacing w:after="200"/>
      <w:ind w:firstLine="289"/>
      <w:jc w:val="both"/>
    </w:pPr>
    <w:rPr>
      <w:b/>
      <w:i/>
      <w:sz w:val="18"/>
      <w:szCs w:val="20"/>
      <w:lang w:val="ru-RU" w:eastAsia="en-US"/>
    </w:rPr>
  </w:style>
  <w:style w:type="paragraph" w:styleId="ab">
    <w:name w:val="Body Text"/>
    <w:basedOn w:val="a0"/>
    <w:link w:val="ac"/>
    <w:rsid w:val="0067295D"/>
    <w:pPr>
      <w:tabs>
        <w:tab w:val="left" w:pos="288"/>
      </w:tabs>
      <w:suppressAutoHyphens/>
      <w:spacing w:after="120" w:line="228" w:lineRule="auto"/>
      <w:ind w:firstLine="289"/>
      <w:jc w:val="both"/>
    </w:pPr>
    <w:rPr>
      <w:rFonts w:eastAsia="MS Mincho"/>
      <w:spacing w:val="-1"/>
      <w:sz w:val="20"/>
      <w:szCs w:val="20"/>
      <w:lang w:val="ru-RU" w:eastAsia="en-US"/>
    </w:rPr>
  </w:style>
  <w:style w:type="character" w:customStyle="1" w:styleId="ac">
    <w:name w:val="Основной текст Знак"/>
    <w:basedOn w:val="a1"/>
    <w:link w:val="ab"/>
    <w:rsid w:val="0067295D"/>
    <w:rPr>
      <w:rFonts w:eastAsia="MS Mincho"/>
      <w:spacing w:val="-1"/>
      <w:sz w:val="20"/>
      <w:szCs w:val="20"/>
      <w:lang w:val="ru-RU" w:eastAsia="en-US"/>
    </w:rPr>
  </w:style>
  <w:style w:type="paragraph" w:customStyle="1" w:styleId="a">
    <w:name w:val="Название рисунка"/>
    <w:basedOn w:val="a0"/>
    <w:qFormat/>
    <w:rsid w:val="00C675F2"/>
    <w:pPr>
      <w:numPr>
        <w:numId w:val="3"/>
      </w:numPr>
      <w:tabs>
        <w:tab w:val="left" w:pos="289"/>
      </w:tabs>
      <w:suppressAutoHyphens/>
      <w:spacing w:before="120" w:after="200"/>
      <w:ind w:left="357" w:hanging="357"/>
    </w:pPr>
    <w:rPr>
      <w:sz w:val="16"/>
      <w:szCs w:val="20"/>
      <w:lang w:val="ru-RU" w:eastAsia="en-US"/>
    </w:rPr>
  </w:style>
  <w:style w:type="paragraph" w:styleId="ad">
    <w:name w:val="Bibliography"/>
    <w:basedOn w:val="ab"/>
    <w:next w:val="a0"/>
    <w:qFormat/>
    <w:rsid w:val="00F2435C"/>
    <w:pPr>
      <w:spacing w:after="50" w:line="180" w:lineRule="exact"/>
      <w:ind w:firstLine="0"/>
    </w:pPr>
    <w:rPr>
      <w:spacing w:val="0"/>
      <w:sz w:val="16"/>
    </w:rPr>
  </w:style>
  <w:style w:type="paragraph" w:customStyle="1" w:styleId="-">
    <w:name w:val="список лит-ры"/>
    <w:rsid w:val="00C675F2"/>
    <w:pPr>
      <w:numPr>
        <w:numId w:val="1"/>
      </w:numPr>
      <w:tabs>
        <w:tab w:val="left" w:pos="357"/>
        <w:tab w:val="num" w:pos="2487"/>
      </w:tabs>
      <w:spacing w:after="50" w:line="180" w:lineRule="exact"/>
      <w:ind w:left="357" w:hanging="357"/>
      <w:jc w:val="both"/>
    </w:pPr>
    <w:rPr>
      <w:noProof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egzlobin00@mail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2772</Words>
  <Characters>15803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2</cp:revision>
  <dcterms:created xsi:type="dcterms:W3CDTF">2026-04-20T10:01:00Z</dcterms:created>
  <dcterms:modified xsi:type="dcterms:W3CDTF">2026-04-20T10:01:00Z</dcterms:modified>
</cp:coreProperties>
</file>